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3GPP TSG-RAN WG4 Meeting # 10</w:t>
      </w:r>
      <w:r>
        <w:rPr>
          <w:rFonts w:hint="eastAsia" w:ascii="Arial" w:hAnsi="Arial" w:cs="Arial"/>
          <w:b/>
          <w:color w:val="auto"/>
          <w:sz w:val="24"/>
          <w:szCs w:val="24"/>
          <w:lang w:val="en-US" w:eastAsia="zh-CN"/>
        </w:rPr>
        <w:t>8</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 xml:space="preserve"> </w:t>
      </w:r>
      <w:r>
        <w:rPr>
          <w:rFonts w:hint="eastAsia" w:ascii="Arial" w:hAnsi="Arial" w:cs="Arial"/>
          <w:b/>
          <w:color w:val="auto"/>
          <w:sz w:val="24"/>
          <w:szCs w:val="24"/>
          <w:lang w:val="en-US" w:eastAsia="zh-CN"/>
        </w:rPr>
        <w:t xml:space="preserve">  </w:t>
      </w:r>
      <w:r>
        <w:rPr>
          <w:rFonts w:hint="eastAsia" w:ascii="Arial" w:hAnsi="Arial" w:cs="Arial"/>
          <w:b/>
          <w:color w:val="auto"/>
          <w:sz w:val="24"/>
          <w:szCs w:val="24"/>
        </w:rPr>
        <w:t>R4-2311833</w:t>
      </w:r>
    </w:p>
    <w:bookmarkEnd w:id="2"/>
    <w:p>
      <w:pPr>
        <w:pStyle w:val="15"/>
        <w:tabs>
          <w:tab w:val="right" w:pos="10440"/>
          <w:tab w:val="right" w:pos="13323"/>
          <w:tab w:val="clear" w:pos="4680"/>
          <w:tab w:val="clear" w:pos="9360"/>
        </w:tabs>
        <w:spacing w:beforeLines="0" w:afterLines="0"/>
        <w:outlineLvl w:val="0"/>
        <w:rPr>
          <w:b/>
          <w:i/>
          <w:sz w:val="24"/>
        </w:rPr>
      </w:pPr>
      <w:r>
        <w:rPr>
          <w:rFonts w:ascii="Arial" w:hAnsi="Arial" w:eastAsia="宋体" w:cs="Arial"/>
          <w:b/>
          <w:sz w:val="24"/>
          <w:szCs w:val="24"/>
          <w:lang w:eastAsia="zh-CN"/>
        </w:rPr>
        <w:t>Toulouse, France, August 21 – August 25, 2023</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hint="eastAsia" w:ascii="Arial" w:hAnsi="Arial"/>
          <w:b/>
          <w:sz w:val="24"/>
          <w:lang w:val="en-US" w:eastAsia="zh-CN"/>
        </w:rPr>
        <w:t xml:space="preserve">Discussion on demodulation requirement for intra-band </w:t>
      </w:r>
      <w:r>
        <w:rPr>
          <w:rFonts w:hint="eastAsia" w:ascii="Arial" w:hAnsi="Arial"/>
          <w:b/>
          <w:sz w:val="24"/>
          <w:lang w:val="en-US" w:eastAsia="zh-CN"/>
        </w:rPr>
        <w:tab/>
      </w:r>
      <w:r>
        <w:rPr>
          <w:rFonts w:hint="eastAsia" w:ascii="Arial" w:hAnsi="Arial"/>
          <w:b/>
          <w:sz w:val="24"/>
          <w:lang w:val="en-US" w:eastAsia="zh-CN"/>
        </w:rPr>
        <w:t>non-collocated NR-CA</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b/>
          <w:color w:val="FF0000"/>
          <w:lang w:val="en-US"/>
        </w:rPr>
      </w:pPr>
      <w:r>
        <w:rPr>
          <w:rStyle w:val="59"/>
          <w:rFonts w:hint="eastAsia"/>
          <w:b/>
          <w:lang w:val="pt-BR"/>
        </w:rPr>
        <w:t>Agenda item:</w:t>
      </w:r>
      <w:r>
        <w:rPr>
          <w:rStyle w:val="59"/>
          <w:rFonts w:hint="eastAsia"/>
          <w:b/>
          <w:lang w:val="pt-BR"/>
        </w:rPr>
        <w:tab/>
      </w:r>
      <w:r>
        <w:rPr>
          <w:rStyle w:val="59"/>
          <w:rFonts w:hint="eastAsia"/>
          <w:b/>
          <w:color w:val="auto"/>
          <w:lang w:val="en-US" w:eastAsia="zh-CN"/>
        </w:rPr>
        <w:t>8.11.4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default" w:cs="Times New Roman"/>
          <w:sz w:val="20"/>
          <w:lang w:val="en-US" w:eastAsia="zh-CN"/>
        </w:rPr>
      </w:pPr>
      <w:r>
        <w:rPr>
          <w:rFonts w:hint="eastAsia"/>
          <w:sz w:val="20"/>
          <w:lang w:val="en-US" w:eastAsia="zh-CN"/>
        </w:rPr>
        <w:t>A</w:t>
      </w:r>
      <w:r>
        <w:rPr>
          <w:rFonts w:ascii="Times New Roman" w:hAnsi="Times New Roman"/>
          <w:sz w:val="20"/>
        </w:rPr>
        <w:t xml:space="preserve"> </w:t>
      </w:r>
      <w:r>
        <w:rPr>
          <w:rFonts w:hint="eastAsia"/>
          <w:sz w:val="20"/>
          <w:lang w:val="en-US" w:eastAsia="zh-CN"/>
        </w:rPr>
        <w:t>revised</w:t>
      </w:r>
      <w:r>
        <w:rPr>
          <w:rFonts w:ascii="Times New Roman" w:hAnsi="Times New Roman"/>
          <w:sz w:val="20"/>
        </w:rPr>
        <w:t xml:space="preserve"> WI </w:t>
      </w:r>
      <w:r>
        <w:rPr>
          <w:rFonts w:hint="eastAsia"/>
          <w:sz w:val="20"/>
          <w:lang w:val="en-US" w:eastAsia="zh-CN"/>
        </w:rPr>
        <w:t>for</w:t>
      </w:r>
      <w:r>
        <w:rPr>
          <w:rFonts w:ascii="Times New Roman" w:hAnsi="Times New Roman"/>
          <w:sz w:val="20"/>
        </w:rPr>
        <w:t xml:space="preserve"> intra-band non-collocated ENDC/NRCA was approved</w:t>
      </w:r>
      <w:r>
        <w:rPr>
          <w:rFonts w:hint="eastAsia"/>
          <w:sz w:val="20"/>
          <w:lang w:val="en-US" w:eastAsia="zh-CN"/>
        </w:rPr>
        <w:t xml:space="preserve"> i</w:t>
      </w:r>
      <w:r>
        <w:rPr>
          <w:rFonts w:ascii="Times New Roman" w:hAnsi="Times New Roman" w:cs="Times New Roman"/>
          <w:sz w:val="20"/>
          <w:lang w:val="en-GB"/>
        </w:rPr>
        <w:t>n RAN#</w:t>
      </w:r>
      <w:r>
        <w:rPr>
          <w:rFonts w:hint="eastAsia" w:cs="Times New Roman"/>
          <w:sz w:val="20"/>
          <w:lang w:val="en-US" w:eastAsia="zh-CN"/>
        </w:rPr>
        <w:t>100</w:t>
      </w:r>
      <w:r>
        <w:rPr>
          <w:rFonts w:ascii="Times New Roman" w:hAnsi="Times New Roman" w:cs="Times New Roman"/>
          <w:sz w:val="20"/>
          <w:lang w:val="en-GB"/>
        </w:rPr>
        <w:t xml:space="preserve"> meeting</w:t>
      </w:r>
      <w:r>
        <w:rPr>
          <w:rFonts w:ascii="Times New Roman" w:hAnsi="Times New Roman"/>
          <w:sz w:val="20"/>
        </w:rPr>
        <w:t>.</w:t>
      </w:r>
      <w:r>
        <w:rPr>
          <w:rFonts w:ascii="Times New Roman" w:hAnsi="Times New Roman" w:cs="Times New Roman"/>
          <w:sz w:val="20"/>
          <w:lang w:val="en-GB"/>
        </w:rPr>
        <w:t xml:space="preserve"> In RAN4#10</w:t>
      </w:r>
      <w:r>
        <w:rPr>
          <w:rFonts w:hint="eastAsia" w:cs="Times New Roman"/>
          <w:sz w:val="20"/>
          <w:lang w:val="en-US" w:eastAsia="zh-CN"/>
        </w:rPr>
        <w:t>7</w:t>
      </w:r>
      <w:r>
        <w:rPr>
          <w:rFonts w:ascii="Times New Roman" w:hAnsi="Times New Roman" w:cs="Times New Roman"/>
          <w:sz w:val="20"/>
          <w:lang w:val="en-GB"/>
        </w:rPr>
        <w:t xml:space="preserve"> meeting, </w:t>
      </w:r>
      <w:r>
        <w:rPr>
          <w:rFonts w:hint="eastAsia" w:cs="Times New Roman"/>
          <w:sz w:val="20"/>
          <w:lang w:val="en-US" w:eastAsia="zh-CN"/>
        </w:rPr>
        <w:t>it was concluded that the demodulation requirement for Type 2 UE needs to be defined</w:t>
      </w:r>
      <w:r>
        <w:rPr>
          <w:rFonts w:hint="eastAsia" w:cs="Times New Roman"/>
          <w:sz w:val="20"/>
          <w:vertAlign w:val="superscript"/>
          <w:lang w:val="en-US" w:eastAsia="zh-CN"/>
        </w:rPr>
        <w:t>[1]</w:t>
      </w:r>
      <w:r>
        <w:rPr>
          <w:rFonts w:hint="eastAsia" w:cs="Times New Roman"/>
          <w:sz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lang w:eastAsia="zh-CN"/>
              </w:rPr>
            </w:pPr>
            <w:r>
              <w:rPr>
                <w:b/>
                <w:u w:val="single"/>
                <w:lang w:val="en-US"/>
              </w:rPr>
              <w:t>Whether to define new Type 2 UE demodulation requirements in TS38.101-4</w:t>
            </w:r>
          </w:p>
          <w:p>
            <w:pPr>
              <w:overflowPunct w:val="0"/>
              <w:autoSpaceDE w:val="0"/>
              <w:autoSpaceDN w:val="0"/>
              <w:adjustRightInd w:val="0"/>
              <w:spacing w:after="180"/>
              <w:textAlignment w:val="baseline"/>
              <w:rPr>
                <w:b/>
                <w:lang w:eastAsia="zh-CN"/>
              </w:rPr>
            </w:pPr>
            <w:r>
              <w:rPr>
                <w:b/>
                <w:highlight w:val="green"/>
                <w:lang w:eastAsia="zh-CN"/>
              </w:rPr>
              <w:t>Agreement</w:t>
            </w:r>
            <w:r>
              <w:rPr>
                <w:b/>
                <w:lang w:eastAsia="zh-CN"/>
              </w:rPr>
              <w:t>:</w:t>
            </w:r>
          </w:p>
          <w:p>
            <w:pPr>
              <w:pStyle w:val="32"/>
              <w:numPr>
                <w:ilvl w:val="0"/>
                <w:numId w:val="7"/>
              </w:numPr>
              <w:overflowPunct w:val="0"/>
              <w:autoSpaceDE w:val="0"/>
              <w:autoSpaceDN w:val="0"/>
              <w:adjustRightInd w:val="0"/>
              <w:spacing w:after="120" w:afterLines="50"/>
              <w:ind w:firstLineChars="0"/>
              <w:textAlignment w:val="baseline"/>
              <w:rPr>
                <w:lang w:eastAsia="zh-CN"/>
              </w:rPr>
            </w:pPr>
            <w:r>
              <w:rPr>
                <w:lang w:eastAsia="zh-CN"/>
              </w:rPr>
              <w:t>Define new Type 2 UE demodulation requirements with NR-CA scenario only.</w:t>
            </w:r>
          </w:p>
          <w:p>
            <w:pPr>
              <w:overflowPunct w:val="0"/>
              <w:autoSpaceDE w:val="0"/>
              <w:autoSpaceDN w:val="0"/>
              <w:adjustRightInd w:val="0"/>
              <w:spacing w:after="120" w:afterLines="50"/>
              <w:textAlignment w:val="baseline"/>
              <w:rPr>
                <w:b/>
                <w:lang w:eastAsia="zh-CN"/>
              </w:rPr>
            </w:pPr>
            <w:r>
              <w:rPr>
                <w:b/>
                <w:u w:val="single"/>
                <w:lang w:val="en-US"/>
              </w:rPr>
              <w:t>Test setup for Type 2 UE demodulation requirements</w:t>
            </w:r>
          </w:p>
          <w:p>
            <w:pPr>
              <w:overflowPunct w:val="0"/>
              <w:autoSpaceDE w:val="0"/>
              <w:autoSpaceDN w:val="0"/>
              <w:adjustRightInd w:val="0"/>
              <w:spacing w:after="180"/>
              <w:textAlignment w:val="baseline"/>
              <w:rPr>
                <w:b/>
                <w:lang w:eastAsia="zh-CN"/>
              </w:rPr>
            </w:pPr>
            <w:r>
              <w:rPr>
                <w:b/>
                <w:highlight w:val="green"/>
                <w:lang w:eastAsia="zh-CN"/>
              </w:rPr>
              <w:t>Agreement</w:t>
            </w:r>
            <w:r>
              <w:rPr>
                <w:b/>
                <w:lang w:eastAsia="zh-CN"/>
              </w:rPr>
              <w:t>:</w:t>
            </w:r>
          </w:p>
          <w:p>
            <w:pPr>
              <w:pStyle w:val="32"/>
              <w:numPr>
                <w:ilvl w:val="0"/>
                <w:numId w:val="7"/>
              </w:numPr>
              <w:overflowPunct w:val="0"/>
              <w:autoSpaceDE w:val="0"/>
              <w:autoSpaceDN w:val="0"/>
              <w:adjustRightInd w:val="0"/>
              <w:spacing w:after="180"/>
              <w:ind w:firstLineChars="0"/>
              <w:textAlignment w:val="baseline"/>
              <w:rPr>
                <w:lang w:eastAsia="zh-CN"/>
              </w:rPr>
            </w:pPr>
            <w:r>
              <w:rPr>
                <w:lang w:eastAsia="zh-CN"/>
              </w:rPr>
              <w:t>Assume the power difference of 25dB and received time difference of 33us under the assumption that requirements introduced under static channel.</w:t>
            </w:r>
          </w:p>
          <w:p>
            <w:pPr>
              <w:overflowPunct w:val="0"/>
              <w:autoSpaceDE w:val="0"/>
              <w:autoSpaceDN w:val="0"/>
              <w:adjustRightInd w:val="0"/>
              <w:spacing w:after="180"/>
              <w:textAlignment w:val="baseline"/>
              <w:rPr>
                <w:b/>
                <w:bCs/>
                <w:u w:val="single"/>
                <w:lang w:val="en-US" w:eastAsia="zh-CN"/>
              </w:rPr>
            </w:pPr>
            <w:r>
              <w:rPr>
                <w:b/>
                <w:bCs/>
                <w:u w:val="single"/>
                <w:lang w:val="en-US" w:eastAsia="zh-CN"/>
              </w:rPr>
              <w:t>Test method for Type 2 UE demodulation requirements</w:t>
            </w:r>
          </w:p>
          <w:p>
            <w:pPr>
              <w:overflowPunct w:val="0"/>
              <w:autoSpaceDE w:val="0"/>
              <w:autoSpaceDN w:val="0"/>
              <w:adjustRightInd w:val="0"/>
              <w:spacing w:after="120" w:afterLines="50"/>
              <w:textAlignment w:val="baseline"/>
              <w:rPr>
                <w:b/>
                <w:lang w:eastAsia="zh-CN"/>
              </w:rPr>
            </w:pPr>
            <w:r>
              <w:rPr>
                <w:b/>
                <w:lang w:eastAsia="zh-CN"/>
              </w:rPr>
              <w:t>Way forward:</w:t>
            </w:r>
          </w:p>
          <w:p>
            <w:pPr>
              <w:pStyle w:val="32"/>
              <w:numPr>
                <w:ilvl w:val="0"/>
                <w:numId w:val="7"/>
              </w:numPr>
              <w:overflowPunct w:val="0"/>
              <w:autoSpaceDE w:val="0"/>
              <w:autoSpaceDN w:val="0"/>
              <w:adjustRightInd w:val="0"/>
              <w:spacing w:after="120" w:afterLines="50"/>
              <w:ind w:firstLineChars="0"/>
              <w:textAlignment w:val="baseline"/>
              <w:rPr>
                <w:bCs/>
                <w:lang w:eastAsia="zh-CN"/>
              </w:rPr>
            </w:pPr>
            <w:r>
              <w:rPr>
                <w:bCs/>
                <w:lang w:eastAsia="zh-CN"/>
              </w:rPr>
              <w:t xml:space="preserve">For NR-CA measure both PCell and SCell at same time. </w:t>
            </w:r>
          </w:p>
          <w:p>
            <w:pPr>
              <w:pStyle w:val="32"/>
              <w:numPr>
                <w:ilvl w:val="0"/>
                <w:numId w:val="7"/>
              </w:numPr>
              <w:overflowPunct w:val="0"/>
              <w:autoSpaceDE w:val="0"/>
              <w:autoSpaceDN w:val="0"/>
              <w:adjustRightInd w:val="0"/>
              <w:spacing w:after="120" w:afterLines="50"/>
              <w:ind w:firstLineChars="0"/>
              <w:textAlignment w:val="baseline"/>
              <w:rPr>
                <w:bCs/>
                <w:lang w:eastAsia="zh-CN"/>
              </w:rPr>
            </w:pPr>
            <w:r>
              <w:rPr>
                <w:bCs/>
                <w:lang w:eastAsia="zh-CN"/>
              </w:rPr>
              <w:t xml:space="preserve">Channel model: AWGN </w:t>
            </w:r>
          </w:p>
          <w:p>
            <w:pPr>
              <w:pStyle w:val="32"/>
              <w:numPr>
                <w:ilvl w:val="1"/>
                <w:numId w:val="7"/>
              </w:numPr>
              <w:overflowPunct w:val="0"/>
              <w:autoSpaceDE w:val="0"/>
              <w:autoSpaceDN w:val="0"/>
              <w:adjustRightInd w:val="0"/>
              <w:spacing w:after="120" w:afterLines="50"/>
              <w:ind w:firstLineChars="0"/>
              <w:textAlignment w:val="baseline"/>
              <w:rPr>
                <w:bCs/>
                <w:lang w:eastAsia="zh-CN"/>
              </w:rPr>
            </w:pPr>
            <w:r>
              <w:rPr>
                <w:bCs/>
                <w:lang w:eastAsia="zh-CN"/>
              </w:rPr>
              <w:t>FFS for Test criteria: Reuse X% of the maximum throughput</w:t>
            </w:r>
          </w:p>
          <w:p>
            <w:pPr>
              <w:pStyle w:val="32"/>
              <w:numPr>
                <w:ilvl w:val="1"/>
                <w:numId w:val="7"/>
              </w:numPr>
              <w:overflowPunct w:val="0"/>
              <w:autoSpaceDE w:val="0"/>
              <w:autoSpaceDN w:val="0"/>
              <w:adjustRightInd w:val="0"/>
              <w:spacing w:after="120" w:afterLines="50"/>
              <w:ind w:firstLineChars="0"/>
              <w:textAlignment w:val="baseline"/>
              <w:rPr>
                <w:bCs/>
                <w:lang w:eastAsia="zh-CN"/>
              </w:rPr>
            </w:pPr>
            <w:r>
              <w:rPr>
                <w:bCs/>
                <w:lang w:eastAsia="zh-CN"/>
              </w:rPr>
              <w:t>FFS for How to select MCS for each carrier</w:t>
            </w:r>
          </w:p>
          <w:p>
            <w:pPr>
              <w:pStyle w:val="32"/>
              <w:numPr>
                <w:ilvl w:val="0"/>
                <w:numId w:val="7"/>
              </w:numPr>
              <w:overflowPunct w:val="0"/>
              <w:autoSpaceDE w:val="0"/>
              <w:autoSpaceDN w:val="0"/>
              <w:adjustRightInd w:val="0"/>
              <w:spacing w:after="120" w:afterLines="50"/>
              <w:ind w:firstLineChars="0"/>
              <w:textAlignment w:val="baseline"/>
              <w:rPr>
                <w:lang w:val="en-US"/>
              </w:rPr>
            </w:pPr>
            <w:r>
              <w:rPr>
                <w:bCs/>
                <w:lang w:eastAsia="zh-CN"/>
              </w:rPr>
              <w:t>Interested companies are encouraged to propose test methods of UE demodulation requirements for NR-CA to verify Type 2 UE features.</w:t>
            </w:r>
          </w:p>
        </w:tc>
      </w:tr>
    </w:tbl>
    <w:p>
      <w:pPr>
        <w:widowControl w:val="0"/>
        <w:spacing w:before="120" w:beforeLines="0" w:after="120" w:afterLines="0" w:line="240" w:lineRule="auto"/>
        <w:jc w:val="left"/>
        <w:rPr>
          <w:rFonts w:hint="default" w:eastAsia="宋体"/>
          <w:kern w:val="0"/>
          <w:sz w:val="20"/>
          <w:lang w:val="en-US" w:eastAsia="zh-CN"/>
        </w:rPr>
      </w:pPr>
      <w:bookmarkStart w:id="4" w:name="OLE_LINK33"/>
      <w:r>
        <w:rPr>
          <w:rFonts w:hint="eastAsia"/>
          <w:kern w:val="0"/>
          <w:sz w:val="20"/>
        </w:rPr>
        <w:t xml:space="preserve"> </w:t>
      </w:r>
      <w:bookmarkEnd w:id="4"/>
      <w:r>
        <w:rPr>
          <w:rFonts w:hint="eastAsia"/>
          <w:kern w:val="0"/>
          <w:sz w:val="20"/>
          <w:lang w:val="en-US" w:eastAsia="zh-CN"/>
        </w:rPr>
        <w:t>In this contribution, we give some initial discussion on the demodulation aspect.</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eastAsia"/>
          <w:lang w:val="en-US" w:eastAsia="zh-CN"/>
        </w:rPr>
      </w:pPr>
      <w:bookmarkStart w:id="5" w:name="OLE_LINK23"/>
      <w:bookmarkStart w:id="6" w:name="OLE_LINK6"/>
      <w:bookmarkStart w:id="7" w:name="OLE_LINK41"/>
      <w:bookmarkStart w:id="8" w:name="OLE_LINK66"/>
      <w:r>
        <w:rPr>
          <w:rFonts w:hint="eastAsia"/>
          <w:lang w:val="en-US" w:eastAsia="zh-CN"/>
        </w:rPr>
        <w:t>I</w:t>
      </w:r>
      <w:r>
        <w:rPr>
          <w:rFonts w:hint="default"/>
          <w:lang w:val="en-US" w:eastAsia="zh-CN"/>
        </w:rPr>
        <w:t xml:space="preserve">t </w:t>
      </w:r>
      <w:r>
        <w:rPr>
          <w:rFonts w:hint="eastAsia"/>
          <w:lang w:val="en-US" w:eastAsia="zh-CN"/>
        </w:rPr>
        <w:t xml:space="preserve">can be </w:t>
      </w:r>
      <w:r>
        <w:rPr>
          <w:rFonts w:hint="default"/>
          <w:lang w:val="en-US" w:eastAsia="zh-CN"/>
        </w:rPr>
        <w:t>found that the demodulation performance</w:t>
      </w:r>
      <w:r>
        <w:rPr>
          <w:rFonts w:hint="eastAsia"/>
          <w:lang w:val="en-US" w:eastAsia="zh-CN"/>
        </w:rPr>
        <w:t>s</w:t>
      </w:r>
      <w:r>
        <w:rPr>
          <w:rFonts w:hint="default"/>
          <w:lang w:val="en-US" w:eastAsia="zh-CN"/>
        </w:rPr>
        <w:t xml:space="preserve"> of </w:t>
      </w:r>
      <w:r>
        <w:rPr>
          <w:rFonts w:hint="eastAsia"/>
          <w:lang w:val="en-US" w:eastAsia="zh-CN"/>
        </w:rPr>
        <w:t xml:space="preserve">co-located </w:t>
      </w:r>
      <w:r>
        <w:rPr>
          <w:rFonts w:hint="default"/>
          <w:lang w:val="en-US" w:eastAsia="zh-CN"/>
        </w:rPr>
        <w:t>ENDC</w:t>
      </w:r>
      <w:r>
        <w:rPr>
          <w:rFonts w:hint="eastAsia"/>
          <w:lang w:val="en-US" w:eastAsia="zh-CN"/>
        </w:rPr>
        <w:t xml:space="preserve">(intra-band contiguous and intra-band non-contiguous) and CA with power imbalance </w:t>
      </w:r>
      <w:r>
        <w:rPr>
          <w:rFonts w:hint="default"/>
          <w:lang w:val="en-US" w:eastAsia="zh-CN"/>
        </w:rPr>
        <w:t>w</w:t>
      </w:r>
      <w:r>
        <w:rPr>
          <w:rFonts w:hint="eastAsia"/>
          <w:lang w:val="en-US" w:eastAsia="zh-CN"/>
        </w:rPr>
        <w:t>ere</w:t>
      </w:r>
      <w:r>
        <w:rPr>
          <w:rFonts w:hint="default"/>
          <w:lang w:val="en-US" w:eastAsia="zh-CN"/>
        </w:rPr>
        <w:t xml:space="preserve"> defined </w:t>
      </w:r>
      <w:r>
        <w:rPr>
          <w:rFonts w:hint="eastAsia"/>
          <w:lang w:val="en-US" w:eastAsia="zh-CN"/>
        </w:rPr>
        <w:t>in TS 38101-4, where the power imbalance defined in the current specification is 6 dB which is copied below</w:t>
      </w:r>
      <w:r>
        <w:rPr>
          <w:rFonts w:hint="eastAsia"/>
          <w:vertAlign w:val="superscript"/>
          <w:lang w:val="en-US" w:eastAsia="zh-CN"/>
        </w:rPr>
        <w:t>[2]</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5"/>
              <w:overflowPunct w:val="0"/>
              <w:autoSpaceDE w:val="0"/>
              <w:autoSpaceDN w:val="0"/>
              <w:adjustRightInd w:val="0"/>
              <w:spacing w:after="180"/>
              <w:textAlignment w:val="baseline"/>
            </w:pPr>
            <w:r>
              <w:t>Table 5.2A.2.2-4: Minimum performance for TDD CA with 30 kHz SCS</w:t>
            </w:r>
          </w:p>
          <w:tbl>
            <w:tblPr>
              <w:tblStyle w:val="22"/>
              <w:tblW w:w="8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04"/>
              <w:gridCol w:w="765"/>
              <w:gridCol w:w="851"/>
              <w:gridCol w:w="1119"/>
              <w:gridCol w:w="1049"/>
              <w:gridCol w:w="946"/>
              <w:gridCol w:w="946"/>
              <w:gridCol w:w="946"/>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8" w:hRule="atLeast"/>
                <w:jc w:val="center"/>
              </w:trPr>
              <w:tc>
                <w:tcPr>
                  <w:tcW w:w="804" w:type="dxa"/>
                  <w:vMerge w:val="restart"/>
                </w:tcPr>
                <w:p>
                  <w:pPr>
                    <w:pStyle w:val="64"/>
                  </w:pPr>
                  <w:r>
                    <w:t>Test Number</w:t>
                  </w:r>
                </w:p>
              </w:tc>
              <w:tc>
                <w:tcPr>
                  <w:tcW w:w="1616" w:type="dxa"/>
                  <w:gridSpan w:val="2"/>
                </w:tcPr>
                <w:p>
                  <w:pPr>
                    <w:pStyle w:val="64"/>
                    <w:rPr>
                      <w:lang w:eastAsia="zh-CN"/>
                    </w:rPr>
                  </w:pPr>
                  <w:r>
                    <w:rPr>
                      <w:rFonts w:hint="eastAsia"/>
                      <w:lang w:eastAsia="zh-CN"/>
                    </w:rPr>
                    <w:t>Bandwidth (MHz)</w:t>
                  </w:r>
                </w:p>
              </w:tc>
              <w:tc>
                <w:tcPr>
                  <w:tcW w:w="2168" w:type="dxa"/>
                  <w:gridSpan w:val="2"/>
                </w:tcPr>
                <w:p>
                  <w:pPr>
                    <w:pStyle w:val="64"/>
                    <w:rPr>
                      <w:lang w:eastAsia="zh-CN"/>
                    </w:rPr>
                  </w:pPr>
                  <w:r>
                    <w:rPr>
                      <w:rFonts w:hint="eastAsia"/>
                      <w:lang w:eastAsia="zh-CN"/>
                    </w:rPr>
                    <w:t>Reference channel</w:t>
                  </w:r>
                </w:p>
              </w:tc>
              <w:tc>
                <w:tcPr>
                  <w:tcW w:w="1892" w:type="dxa"/>
                  <w:gridSpan w:val="2"/>
                </w:tcPr>
                <w:p>
                  <w:pPr>
                    <w:pStyle w:val="64"/>
                    <w:rPr>
                      <w:lang w:eastAsia="zh-CN"/>
                    </w:rPr>
                  </w:pPr>
                  <w:r>
                    <w:rPr>
                      <w:rFonts w:hint="eastAsia"/>
                      <w:lang w:eastAsia="zh-CN"/>
                    </w:rPr>
                    <w:t>P</w:t>
                  </w:r>
                  <w:r>
                    <w:rPr>
                      <w:lang w:eastAsia="zh-CN"/>
                    </w:rPr>
                    <w:t>o</w:t>
                  </w:r>
                  <w:r>
                    <w:rPr>
                      <w:rFonts w:hint="eastAsia"/>
                      <w:lang w:eastAsia="zh-CN"/>
                    </w:rPr>
                    <w:t>wer at antenna port (dBm/</w:t>
                  </w:r>
                  <w:r>
                    <w:rPr>
                      <w:lang w:eastAsia="zh-CN"/>
                    </w:rPr>
                    <w:t>Hz)</w:t>
                  </w:r>
                </w:p>
              </w:tc>
              <w:tc>
                <w:tcPr>
                  <w:tcW w:w="1893" w:type="dxa"/>
                  <w:gridSpan w:val="2"/>
                </w:tcPr>
                <w:p>
                  <w:pPr>
                    <w:pStyle w:val="64"/>
                  </w:pPr>
                  <w:r>
                    <w:t>Reference value</w:t>
                  </w:r>
                </w:p>
                <w:p>
                  <w:pPr>
                    <w:pStyle w:val="64"/>
                  </w:pPr>
                  <w:r>
                    <w:t>Fraction of Maximum</w:t>
                  </w:r>
                </w:p>
                <w:p>
                  <w:pPr>
                    <w:pStyle w:val="64"/>
                  </w:pPr>
                  <w:r>
                    <w:t>Throughput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1" w:hRule="atLeast"/>
                <w:jc w:val="center"/>
              </w:trPr>
              <w:tc>
                <w:tcPr>
                  <w:tcW w:w="804" w:type="dxa"/>
                  <w:vMerge w:val="continue"/>
                  <w:tcBorders>
                    <w:bottom w:val="single" w:color="auto" w:sz="4" w:space="0"/>
                  </w:tcBorders>
                </w:tcPr>
                <w:p>
                  <w:pPr>
                    <w:pStyle w:val="64"/>
                    <w:rPr>
                      <w:rFonts w:eastAsia="??"/>
                      <w:sz w:val="15"/>
                    </w:rPr>
                  </w:pPr>
                </w:p>
              </w:tc>
              <w:tc>
                <w:tcPr>
                  <w:tcW w:w="765" w:type="dxa"/>
                  <w:tcBorders>
                    <w:bottom w:val="single" w:color="auto" w:sz="4" w:space="0"/>
                  </w:tcBorders>
                </w:tcPr>
                <w:p>
                  <w:pPr>
                    <w:pStyle w:val="64"/>
                  </w:pPr>
                  <w:r>
                    <w:rPr>
                      <w:rFonts w:hint="eastAsia"/>
                    </w:rPr>
                    <w:t>PCell</w:t>
                  </w:r>
                </w:p>
              </w:tc>
              <w:tc>
                <w:tcPr>
                  <w:tcW w:w="851" w:type="dxa"/>
                  <w:tcBorders>
                    <w:bottom w:val="single" w:color="auto" w:sz="4" w:space="0"/>
                  </w:tcBorders>
                </w:tcPr>
                <w:p>
                  <w:pPr>
                    <w:pStyle w:val="64"/>
                  </w:pPr>
                  <w:r>
                    <w:rPr>
                      <w:rFonts w:hint="eastAsia"/>
                    </w:rPr>
                    <w:t>SCell</w:t>
                  </w:r>
                </w:p>
              </w:tc>
              <w:tc>
                <w:tcPr>
                  <w:tcW w:w="1119" w:type="dxa"/>
                  <w:tcBorders>
                    <w:bottom w:val="single" w:color="auto" w:sz="4" w:space="0"/>
                  </w:tcBorders>
                </w:tcPr>
                <w:p>
                  <w:pPr>
                    <w:pStyle w:val="64"/>
                  </w:pPr>
                  <w:r>
                    <w:rPr>
                      <w:rFonts w:hint="eastAsia"/>
                    </w:rPr>
                    <w:t>PCell</w:t>
                  </w:r>
                </w:p>
              </w:tc>
              <w:tc>
                <w:tcPr>
                  <w:tcW w:w="1049" w:type="dxa"/>
                  <w:tcBorders>
                    <w:bottom w:val="single" w:color="auto" w:sz="4" w:space="0"/>
                  </w:tcBorders>
                </w:tcPr>
                <w:p>
                  <w:pPr>
                    <w:pStyle w:val="64"/>
                  </w:pPr>
                  <w:r>
                    <w:rPr>
                      <w:rFonts w:hint="eastAsia"/>
                    </w:rPr>
                    <w:t>SCell</w:t>
                  </w:r>
                </w:p>
              </w:tc>
              <w:tc>
                <w:tcPr>
                  <w:tcW w:w="946" w:type="dxa"/>
                  <w:tcBorders>
                    <w:bottom w:val="single" w:color="auto" w:sz="4" w:space="0"/>
                  </w:tcBorders>
                </w:tcPr>
                <w:p>
                  <w:pPr>
                    <w:pStyle w:val="64"/>
                    <w:rPr>
                      <w:lang w:eastAsia="zh-CN"/>
                    </w:rPr>
                  </w:pPr>
                  <w:r>
                    <w:rPr>
                      <w:position w:val="-14"/>
                    </w:rPr>
                    <w:object>
                      <v:shape id="_x0000_i1025" o:spt="75" type="#_x0000_t75" style="height:16.5pt;width:32.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lang w:eastAsia="zh-CN"/>
                    </w:rPr>
                    <w:t xml:space="preserve"> for </w:t>
                  </w:r>
                  <w:r>
                    <w:rPr>
                      <w:rFonts w:hint="eastAsia"/>
                    </w:rPr>
                    <w:t>PCell</w:t>
                  </w:r>
                </w:p>
              </w:tc>
              <w:tc>
                <w:tcPr>
                  <w:tcW w:w="946" w:type="dxa"/>
                  <w:tcBorders>
                    <w:bottom w:val="single" w:color="auto" w:sz="4" w:space="0"/>
                  </w:tcBorders>
                </w:tcPr>
                <w:p>
                  <w:pPr>
                    <w:pStyle w:val="64"/>
                  </w:pPr>
                  <w:r>
                    <w:rPr>
                      <w:position w:val="-14"/>
                    </w:rPr>
                    <w:object>
                      <v:shape id="_x0000_i1026" o:spt="75" type="#_x0000_t75" style="height:16.5pt;width:32.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lang w:eastAsia="zh-CN"/>
                    </w:rPr>
                    <w:t xml:space="preserve"> for</w:t>
                  </w:r>
                  <w:r>
                    <w:rPr>
                      <w:rFonts w:hint="eastAsia"/>
                    </w:rPr>
                    <w:t xml:space="preserve"> S</w:t>
                  </w:r>
                  <w:r>
                    <w:t>cell</w:t>
                  </w:r>
                </w:p>
              </w:tc>
              <w:tc>
                <w:tcPr>
                  <w:tcW w:w="946" w:type="dxa"/>
                  <w:tcBorders>
                    <w:bottom w:val="single" w:color="auto" w:sz="4" w:space="0"/>
                  </w:tcBorders>
                </w:tcPr>
                <w:p>
                  <w:pPr>
                    <w:pStyle w:val="64"/>
                    <w:rPr>
                      <w:rFonts w:eastAsia="??"/>
                    </w:rPr>
                  </w:pPr>
                  <w:r>
                    <w:rPr>
                      <w:rFonts w:hint="eastAsia"/>
                    </w:rPr>
                    <w:t>PCell</w:t>
                  </w:r>
                </w:p>
              </w:tc>
              <w:tc>
                <w:tcPr>
                  <w:tcW w:w="947" w:type="dxa"/>
                  <w:tcBorders>
                    <w:bottom w:val="single" w:color="auto" w:sz="4" w:space="0"/>
                  </w:tcBorders>
                </w:tcPr>
                <w:p>
                  <w:pPr>
                    <w:pStyle w:val="64"/>
                    <w:rPr>
                      <w:rFonts w:eastAsia="??"/>
                    </w:rPr>
                  </w:pPr>
                  <w:r>
                    <w:rPr>
                      <w:rFonts w:hint="eastAsia"/>
                    </w:rPr>
                    <w:t>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04" w:type="dxa"/>
                </w:tcPr>
                <w:p>
                  <w:pPr>
                    <w:pStyle w:val="56"/>
                  </w:pPr>
                  <w:r>
                    <w:t>1</w:t>
                  </w:r>
                </w:p>
              </w:tc>
              <w:tc>
                <w:tcPr>
                  <w:tcW w:w="1616" w:type="dxa"/>
                  <w:gridSpan w:val="2"/>
                </w:tcPr>
                <w:p>
                  <w:pPr>
                    <w:pStyle w:val="56"/>
                    <w:rPr>
                      <w:lang w:eastAsia="zh-CN"/>
                    </w:rPr>
                  </w:pPr>
                  <w:r>
                    <w:rPr>
                      <w:lang w:eastAsia="zh-CN"/>
                    </w:rPr>
                    <w:t>Selected Channel bandwidth as per section 5.1.1.6</w:t>
                  </w:r>
                </w:p>
              </w:tc>
              <w:tc>
                <w:tcPr>
                  <w:tcW w:w="1119" w:type="dxa"/>
                </w:tcPr>
                <w:p>
                  <w:pPr>
                    <w:pStyle w:val="56"/>
                    <w:rPr>
                      <w:lang w:eastAsia="zh-CN"/>
                    </w:rPr>
                  </w:pPr>
                  <w:r>
                    <w:rPr>
                      <w:lang w:eastAsia="zh-CN"/>
                    </w:rPr>
                    <w:t xml:space="preserve">Derived as per section </w:t>
                  </w:r>
                  <w:r>
                    <w:rPr>
                      <w:color w:val="000000"/>
                    </w:rPr>
                    <w:t>5.1.3.2 of TS 38.214 [12]</w:t>
                  </w:r>
                </w:p>
              </w:tc>
              <w:tc>
                <w:tcPr>
                  <w:tcW w:w="1049" w:type="dxa"/>
                </w:tcPr>
                <w:p>
                  <w:pPr>
                    <w:pStyle w:val="56"/>
                    <w:rPr>
                      <w:lang w:eastAsia="zh-CN"/>
                    </w:rPr>
                  </w:pPr>
                  <w:r>
                    <w:rPr>
                      <w:lang w:eastAsia="zh-CN"/>
                    </w:rPr>
                    <w:t>NA</w:t>
                  </w:r>
                </w:p>
              </w:tc>
              <w:tc>
                <w:tcPr>
                  <w:tcW w:w="946" w:type="dxa"/>
                </w:tcPr>
                <w:p>
                  <w:pPr>
                    <w:pStyle w:val="56"/>
                    <w:rPr>
                      <w:lang w:eastAsia="zh-CN"/>
                    </w:rPr>
                  </w:pPr>
                  <w:r>
                    <w:rPr>
                      <w:lang w:eastAsia="zh-CN"/>
                    </w:rPr>
                    <w:t>-112</w:t>
                  </w:r>
                </w:p>
              </w:tc>
              <w:tc>
                <w:tcPr>
                  <w:tcW w:w="946" w:type="dxa"/>
                </w:tcPr>
                <w:p>
                  <w:pPr>
                    <w:pStyle w:val="56"/>
                    <w:rPr>
                      <w:lang w:eastAsia="zh-CN"/>
                    </w:rPr>
                  </w:pPr>
                  <w:r>
                    <w:rPr>
                      <w:lang w:eastAsia="zh-CN"/>
                    </w:rPr>
                    <w:t>-106</w:t>
                  </w:r>
                </w:p>
              </w:tc>
              <w:tc>
                <w:tcPr>
                  <w:tcW w:w="946" w:type="dxa"/>
                </w:tcPr>
                <w:p>
                  <w:pPr>
                    <w:pStyle w:val="56"/>
                  </w:pPr>
                  <w:r>
                    <w:t>85</w:t>
                  </w:r>
                </w:p>
              </w:tc>
              <w:tc>
                <w:tcPr>
                  <w:tcW w:w="947" w:type="dxa"/>
                </w:tcPr>
                <w:p>
                  <w:pPr>
                    <w:pStyle w:val="56"/>
                  </w:pPr>
                  <w:r>
                    <w:t>NA</w:t>
                  </w:r>
                </w:p>
              </w:tc>
            </w:tr>
          </w:tbl>
          <w:p>
            <w:pPr>
              <w:pStyle w:val="62"/>
              <w:keepLines w:val="0"/>
              <w:widowControl w:val="0"/>
              <w:overflowPunct w:val="0"/>
              <w:autoSpaceDE w:val="0"/>
              <w:autoSpaceDN w:val="0"/>
              <w:adjustRightInd w:val="0"/>
              <w:spacing w:before="120" w:after="120"/>
              <w:ind w:left="0" w:firstLine="0"/>
              <w:textAlignment w:val="baseline"/>
              <w:rPr>
                <w:rFonts w:hint="eastAsia"/>
                <w:vertAlign w:val="baseline"/>
                <w:lang w:val="en-US" w:eastAsia="zh-CN"/>
              </w:rPr>
            </w:pPr>
          </w:p>
          <w:p>
            <w:pPr>
              <w:pStyle w:val="62"/>
              <w:keepLines w:val="0"/>
              <w:widowControl w:val="0"/>
              <w:overflowPunct w:val="0"/>
              <w:autoSpaceDE w:val="0"/>
              <w:autoSpaceDN w:val="0"/>
              <w:adjustRightInd w:val="0"/>
              <w:spacing w:before="120" w:after="120"/>
              <w:ind w:left="0" w:firstLine="0"/>
              <w:textAlignment w:val="baseline"/>
              <w:rPr>
                <w:rFonts w:hint="eastAsia"/>
                <w:vertAlign w:val="baseline"/>
                <w:lang w:val="en-US" w:eastAsia="zh-CN"/>
              </w:rPr>
            </w:pPr>
          </w:p>
        </w:tc>
      </w:tr>
    </w:tbl>
    <w:p>
      <w:pPr>
        <w:pStyle w:val="62"/>
        <w:keepLines w:val="0"/>
        <w:widowControl w:val="0"/>
        <w:spacing w:before="120" w:after="120"/>
        <w:ind w:left="0" w:firstLine="0"/>
        <w:rPr>
          <w:rFonts w:hint="default"/>
          <w:lang w:val="en-US" w:eastAsia="zh-CN"/>
        </w:rPr>
      </w:pPr>
      <w:r>
        <w:rPr>
          <w:rFonts w:hint="eastAsia"/>
          <w:lang w:val="en-US" w:eastAsia="zh-CN"/>
        </w:rPr>
        <w:t xml:space="preserve">As Type 2 UE is introduced for non-colocated scenario, the demodulation requirements should be defined since the power imbalance between two cells is defined as 25dB for Type 2 UE, which are different from those of Type 1 UE. With regard to the power setting of each antenna, a straight forward way is to fix the </w:t>
      </w:r>
      <w:bookmarkStart w:id="9" w:name="OLE_LINK2"/>
      <w:r>
        <w:rPr>
          <w:rFonts w:hint="eastAsia"/>
          <w:lang w:val="en-US" w:eastAsia="zh-CN"/>
        </w:rPr>
        <w:t>weaker one</w:t>
      </w:r>
      <w:bookmarkEnd w:id="9"/>
      <w:r>
        <w:rPr>
          <w:rFonts w:hint="eastAsia"/>
          <w:lang w:val="en-US" w:eastAsia="zh-CN"/>
        </w:rPr>
        <w:t xml:space="preserve"> and change the other one by 25dB which is listed as in table 2-1, in which the </w:t>
      </w:r>
      <w:bookmarkStart w:id="10" w:name="OLE_LINK3"/>
      <w:r>
        <w:rPr>
          <w:rFonts w:hint="eastAsia"/>
          <w:lang w:val="en-US" w:eastAsia="zh-CN"/>
        </w:rPr>
        <w:t xml:space="preserve">weaker </w:t>
      </w:r>
      <w:bookmarkEnd w:id="10"/>
      <w:r>
        <w:rPr>
          <w:rFonts w:hint="eastAsia"/>
          <w:lang w:val="en-US" w:eastAsia="zh-CN"/>
        </w:rPr>
        <w:t>one could be the signal with lower SNR value with lower modulation scheme like QPSK due to bad propagation condition, and the other one could be the the signal with higher SNR (i.e. 25dB SNR higher than the SNR of weaker one) value with</w:t>
      </w:r>
      <w:bookmarkStart w:id="13" w:name="_GoBack"/>
      <w:bookmarkEnd w:id="13"/>
      <w:r>
        <w:rPr>
          <w:rFonts w:hint="eastAsia"/>
          <w:lang w:val="en-US" w:eastAsia="zh-CN"/>
        </w:rPr>
        <w:t xml:space="preserve"> higher modulation scheme like 256QAM due to good propagation condition. </w:t>
      </w:r>
    </w:p>
    <w:p>
      <w:pPr>
        <w:pStyle w:val="55"/>
        <w:rPr>
          <w:rFonts w:hint="default" w:eastAsia="宋体"/>
          <w:lang w:val="en-US" w:eastAsia="zh-CN"/>
        </w:rPr>
      </w:pPr>
      <w:r>
        <w:rPr>
          <w:rFonts w:hint="eastAsia"/>
          <w:lang w:val="en-US" w:eastAsia="zh-CN"/>
        </w:rPr>
        <w:t xml:space="preserve">Table 2-1 </w:t>
      </w:r>
      <w:r>
        <w:t xml:space="preserve"> Test parameters</w:t>
      </w:r>
      <w:r>
        <w:rPr>
          <w:rFonts w:hint="eastAsia"/>
          <w:lang w:val="en-US" w:eastAsia="zh-CN"/>
        </w:rPr>
        <w:t xml:space="preserve"> for NRCA with power imbalance of 25dB</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737"/>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lang w:val="en-US" w:eastAsia="zh-CN"/>
              </w:rPr>
              <w:t>Index</w:t>
            </w:r>
          </w:p>
        </w:tc>
        <w:tc>
          <w:tcPr>
            <w:tcW w:w="0" w:type="auto"/>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lang w:val="en-US" w:eastAsia="zh-CN"/>
              </w:rPr>
              <w:t>Es_pcell</w:t>
            </w:r>
            <w:r>
              <w:rPr>
                <w:rFonts w:hint="eastAsia"/>
                <w:lang w:eastAsia="zh-CN"/>
              </w:rPr>
              <w:t>(dBm</w:t>
            </w:r>
            <w:r>
              <w:rPr>
                <w:lang w:eastAsia="zh-CN"/>
              </w:rPr>
              <w:t>/Hz)</w:t>
            </w:r>
          </w:p>
        </w:tc>
        <w:tc>
          <w:tcPr>
            <w:tcW w:w="0" w:type="auto"/>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lang w:val="en-US" w:eastAsia="zh-CN"/>
              </w:rPr>
              <w:t>Es_scell</w:t>
            </w:r>
            <w:r>
              <w:rPr>
                <w:rFonts w:hint="eastAsia"/>
                <w:lang w:eastAsia="zh-CN"/>
              </w:rPr>
              <w:t>(dBm</w:t>
            </w:r>
            <w:r>
              <w:rPr>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eastAsia="宋体"/>
                <w:lang w:val="en-US"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lang w:eastAsia="zh-CN"/>
              </w:rPr>
              <w:t>-112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-87</w:t>
            </w:r>
          </w:p>
        </w:tc>
      </w:tr>
    </w:tbl>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1. To consider the power setting for antenna port of the weaker cc with -112dBm/Hz and the stronger cc with -87dBm/Hz for demodulation requirements of Type 2 UE.</w:t>
      </w:r>
    </w:p>
    <w:p>
      <w:pPr>
        <w:pStyle w:val="62"/>
        <w:keepLines w:val="0"/>
        <w:widowControl w:val="0"/>
        <w:spacing w:before="120" w:after="120"/>
        <w:ind w:left="0" w:firstLine="0"/>
        <w:rPr>
          <w:rFonts w:hint="default"/>
          <w:lang w:val="en-US" w:eastAsia="zh-CN"/>
        </w:rPr>
      </w:pPr>
      <w:r>
        <w:rPr>
          <w:rFonts w:hint="eastAsia"/>
          <w:lang w:val="en-US" w:eastAsia="zh-CN"/>
        </w:rPr>
        <w:t xml:space="preserve">With regard to </w:t>
      </w:r>
      <w:r>
        <w:rPr>
          <w:bCs/>
          <w:lang w:eastAsia="zh-CN"/>
        </w:rPr>
        <w:t xml:space="preserve">X% of the </w:t>
      </w:r>
      <w:bookmarkStart w:id="11" w:name="OLE_LINK4"/>
      <w:r>
        <w:rPr>
          <w:bCs/>
          <w:lang w:eastAsia="zh-CN"/>
        </w:rPr>
        <w:t>maximum throughput</w:t>
      </w:r>
      <w:bookmarkEnd w:id="11"/>
      <w:r>
        <w:rPr>
          <w:rFonts w:hint="eastAsia"/>
          <w:bCs/>
          <w:lang w:val="en-US" w:eastAsia="zh-CN"/>
        </w:rPr>
        <w:t xml:space="preserve">, the 85% of the </w:t>
      </w:r>
      <w:r>
        <w:rPr>
          <w:bCs/>
          <w:lang w:eastAsia="zh-CN"/>
        </w:rPr>
        <w:t>maximum throughput</w:t>
      </w:r>
      <w:r>
        <w:rPr>
          <w:rFonts w:hint="eastAsia"/>
          <w:bCs/>
          <w:lang w:val="en-US" w:eastAsia="zh-CN"/>
        </w:rPr>
        <w:t xml:space="preserve"> can be considered for type 2 UE as it is used for co-located NR-CA with 6dB power imbalance .</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2. To consider 85% of the maximum throughput as the test metric for demodulation requirements of Type 2 UE.</w:t>
      </w:r>
    </w:p>
    <w:p>
      <w:pPr>
        <w:pStyle w:val="62"/>
        <w:keepLines w:val="0"/>
        <w:widowControl w:val="0"/>
        <w:spacing w:before="120" w:after="120"/>
        <w:ind w:left="0" w:firstLine="0"/>
        <w:rPr>
          <w:rFonts w:hint="eastAsia"/>
          <w:lang w:val="en-US" w:eastAsia="zh-CN"/>
        </w:rPr>
      </w:pPr>
      <w:r>
        <w:rPr>
          <w:rFonts w:hint="eastAsia"/>
          <w:lang w:val="en-US" w:eastAsia="zh-CN"/>
        </w:rPr>
        <w:t xml:space="preserve">With regard to the evaluation parameters, we think the parameters for co-located NR CA with power imbalance of 6dB in TS 38101-4 can be a starting point, which are extracted as follow for convenience.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5"/>
              <w:overflowPunct w:val="0"/>
              <w:autoSpaceDE w:val="0"/>
              <w:autoSpaceDN w:val="0"/>
              <w:adjustRightInd w:val="0"/>
              <w:spacing w:after="180"/>
              <w:textAlignment w:val="baseline"/>
              <w:rPr>
                <w:rFonts w:hint="default" w:eastAsia="宋体"/>
                <w:lang w:val="en-US" w:eastAsia="zh-CN"/>
              </w:rPr>
            </w:pPr>
            <w:r>
              <w:t>Table 5.2A.2.2-2</w:t>
            </w:r>
            <w:r>
              <w:rPr>
                <w:rFonts w:hint="eastAsia"/>
                <w:lang w:eastAsia="zh-CN"/>
              </w:rPr>
              <w:t>:</w:t>
            </w:r>
            <w:r>
              <w:t xml:space="preserve"> Test parameters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6"/>
              <w:gridCol w:w="3618"/>
              <w:gridCol w:w="620"/>
              <w:gridCol w:w="3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Parameter</w:t>
                  </w:r>
                </w:p>
              </w:tc>
              <w:tc>
                <w:tcPr>
                  <w:tcW w:w="621" w:type="dxa"/>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Unit</w:t>
                  </w:r>
                </w:p>
              </w:tc>
              <w:tc>
                <w:tcPr>
                  <w:tcW w:w="3640" w:type="dxa"/>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Duplex mode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FDD and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Active DL BWP index</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ropagation condition</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Static propagation condition</w:t>
                  </w:r>
                </w:p>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No external noise sources are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A</w:t>
                  </w:r>
                  <w:r>
                    <w:rPr>
                      <w:rFonts w:eastAsia="宋体"/>
                      <w:lang w:eastAsia="zh-CN"/>
                    </w:rPr>
                    <w:t>ntenna configuration</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1</w:t>
                  </w:r>
                  <w:r>
                    <w:rPr>
                      <w:rFonts w:eastAsia="宋体"/>
                      <w:lang w:eastAsia="zh-CN"/>
                    </w:rPr>
                    <w:t>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4"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DSCH configuration</w:t>
                  </w:r>
                </w:p>
              </w:tc>
              <w:tc>
                <w:tcPr>
                  <w:tcW w:w="3657"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Length (L)</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rPr>
                    <w:t>FDD: 12</w:t>
                  </w:r>
                  <w:r>
                    <w:rPr>
                      <w:rFonts w:hint="eastAsia" w:eastAsia="宋体"/>
                      <w:lang w:eastAsia="zh-CN"/>
                    </w:rPr>
                    <w:t>T</w:t>
                  </w:r>
                  <w:r>
                    <w:rPr>
                      <w:rFonts w:eastAsia="宋体"/>
                      <w:lang w:eastAsia="zh-CN"/>
                    </w:rPr>
                    <w:t>DD: 12 for DL slot, 4 for special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i/>
                    </w:rPr>
                  </w:pPr>
                </w:p>
              </w:tc>
              <w:tc>
                <w:tcPr>
                  <w:tcW w:w="3657"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PRB bundling size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WB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Mod</w:t>
                  </w:r>
                  <w:r>
                    <w:rPr>
                      <w:rFonts w:eastAsia="宋体"/>
                      <w:lang w:eastAsia="zh-CN"/>
                    </w:rPr>
                    <w:t>ulation and code rate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6</w:t>
                  </w:r>
                  <w:r>
                    <w:rPr>
                      <w:rFonts w:eastAsia="宋体"/>
                      <w:lang w:eastAsia="zh-CN"/>
                    </w:rPr>
                    <w:t>4QAM, MCS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eastAsia="宋体"/>
                      <w:lang w:val="en-US"/>
                    </w:rPr>
                    <w:t>Number of HARQ Processes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F</w:t>
                  </w:r>
                  <w:r>
                    <w:rPr>
                      <w:rFonts w:eastAsia="宋体"/>
                      <w:lang w:eastAsia="zh-CN"/>
                    </w:rPr>
                    <w:t>DD: 4</w:t>
                  </w:r>
                </w:p>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TDD</w:t>
                  </w:r>
                  <w:r>
                    <w:rPr>
                      <w:rFonts w:hint="eastAsia" w:eastAsia="宋体"/>
                      <w:lang w:eastAsia="zh-CN"/>
                    </w:rPr>
                    <w:t>:</w:t>
                  </w:r>
                  <w:r>
                    <w:rPr>
                      <w:rFonts w:eastAsia="宋体"/>
                      <w:lang w:eastAsia="zh-CN"/>
                    </w:rPr>
                    <w:t xml:space="preserve"> </w:t>
                  </w:r>
                  <w:r>
                    <w:rPr>
                      <w:rFonts w:hint="eastAsia" w:eastAsia="宋体"/>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eastAsia="zh-CN"/>
                    </w:rPr>
                  </w:pPr>
                  <w:r>
                    <w:rPr>
                      <w:rFonts w:eastAsia="宋体"/>
                      <w:lang w:val="en-US" w:eastAsia="zh-CN"/>
                    </w:rPr>
                    <w:t>Maximum number of HARQ transmission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eastAsia="zh-CN"/>
                    </w:rPr>
                  </w:pPr>
                  <w:r>
                    <w:rPr>
                      <w:rFonts w:hint="eastAsia" w:eastAsia="宋体"/>
                      <w:lang w:val="en-US" w:eastAsia="zh-CN"/>
                    </w:rPr>
                    <w:t>R</w:t>
                  </w:r>
                  <w:r>
                    <w:rPr>
                      <w:rFonts w:eastAsia="宋体"/>
                      <w:lang w:val="en-US" w:eastAsia="zh-CN"/>
                    </w:rPr>
                    <w:t>edundancy version coding sequence</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w:t>
                  </w: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hint="eastAsia" w:eastAsia="宋体"/>
                      <w:lang w:val="en-US" w:eastAsia="zh-CN"/>
                    </w:rPr>
                    <w:t xml:space="preserve">TDD UL-DL </w:t>
                  </w:r>
                  <w:r>
                    <w:rPr>
                      <w:rFonts w:eastAsia="宋体"/>
                      <w:lang w:val="en-US" w:eastAsia="zh-CN"/>
                    </w:rPr>
                    <w:t>pattern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30kHz SCS: FR1.30-1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eastAsia="宋体"/>
                    </w:rPr>
                    <w:t>The number of slots between PDSCH and corresponding HARQ-ACK information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As defined in Table A.1.2-2 for FR1.30-1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PUCCH format for HARQ-ACK feedback</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UCCH format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cs="Arial"/>
                      <w:szCs w:val="18"/>
                    </w:rPr>
                    <w:t>Overhead</w:t>
                  </w:r>
                  <w:r>
                    <w:rPr>
                      <w:rFonts w:eastAsia="宋体" w:cs="Arial"/>
                      <w:szCs w:val="18"/>
                      <w:lang w:val="en-US"/>
                    </w:rPr>
                    <w:t xml:space="preserve"> for TBS determination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highlight w:val="yellow"/>
                      <w:lang w:eastAsia="zh-CN"/>
                    </w:rPr>
                  </w:pPr>
                  <w:r>
                    <w:rPr>
                      <w:rFonts w:hint="eastAsia"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cs="Arial"/>
                      <w:szCs w:val="18"/>
                      <w:lang w:eastAsia="zh-CN"/>
                    </w:rPr>
                  </w:pPr>
                  <w:r>
                    <w:rPr>
                      <w:rFonts w:hint="eastAsia" w:eastAsia="宋体" w:cs="Arial"/>
                      <w:szCs w:val="18"/>
                      <w:lang w:eastAsia="zh-CN"/>
                    </w:rPr>
                    <w:t>S</w:t>
                  </w:r>
                  <w:r>
                    <w:rPr>
                      <w:rFonts w:eastAsia="宋体" w:cs="Arial"/>
                      <w:szCs w:val="18"/>
                      <w:lang w:eastAsia="zh-CN"/>
                    </w:rPr>
                    <w:t>SB transmission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Slot#0 with periodicity 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cs="Arial"/>
                      <w:szCs w:val="18"/>
                      <w:lang w:eastAsia="zh-CN"/>
                    </w:rPr>
                  </w:pPr>
                  <w:r>
                    <w:rPr>
                      <w:rFonts w:eastAsia="宋体" w:cs="Arial"/>
                      <w:szCs w:val="18"/>
                      <w:lang w:eastAsia="zh-CN"/>
                    </w:rPr>
                    <w:t>RB assignment</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Full applicable test bandwidth as defined in Table 5.3.5-1 of TS 38.101-1 [6]</w:t>
                  </w:r>
                </w:p>
              </w:tc>
            </w:tr>
          </w:tbl>
          <w:p>
            <w:pPr>
              <w:pStyle w:val="62"/>
              <w:keepLines w:val="0"/>
              <w:widowControl w:val="0"/>
              <w:overflowPunct w:val="0"/>
              <w:autoSpaceDE w:val="0"/>
              <w:autoSpaceDN w:val="0"/>
              <w:adjustRightInd w:val="0"/>
              <w:spacing w:before="120" w:after="120"/>
              <w:ind w:left="0" w:leftChars="0" w:firstLine="0" w:firstLineChars="0"/>
              <w:textAlignment w:val="baseline"/>
              <w:rPr>
                <w:rFonts w:hint="eastAsia"/>
                <w:vertAlign w:val="baseline"/>
                <w:lang w:val="en-US" w:eastAsia="zh-CN"/>
              </w:rPr>
            </w:pPr>
          </w:p>
          <w:p>
            <w:pPr>
              <w:pStyle w:val="62"/>
              <w:keepLines w:val="0"/>
              <w:widowControl w:val="0"/>
              <w:overflowPunct w:val="0"/>
              <w:autoSpaceDE w:val="0"/>
              <w:autoSpaceDN w:val="0"/>
              <w:adjustRightInd w:val="0"/>
              <w:spacing w:before="120" w:after="120"/>
              <w:ind w:left="0" w:leftChars="0" w:firstLine="0" w:firstLineChars="0"/>
              <w:textAlignment w:val="baseline"/>
              <w:rPr>
                <w:rFonts w:hint="eastAsia"/>
                <w:vertAlign w:val="baseline"/>
                <w:lang w:val="en-US" w:eastAsia="zh-CN"/>
              </w:rPr>
            </w:pPr>
          </w:p>
        </w:tc>
      </w:tr>
    </w:tbl>
    <w:p>
      <w:pPr>
        <w:pStyle w:val="62"/>
        <w:keepLines w:val="0"/>
        <w:widowControl w:val="0"/>
        <w:spacing w:before="120" w:after="120"/>
        <w:ind w:left="0" w:firstLine="0"/>
        <w:rPr>
          <w:rFonts w:hint="default"/>
          <w:lang w:val="en-US" w:eastAsia="zh-CN"/>
        </w:rPr>
      </w:pPr>
      <w:r>
        <w:rPr>
          <w:rFonts w:hint="eastAsia"/>
          <w:lang w:val="en-US" w:eastAsia="zh-CN"/>
        </w:rPr>
        <w:t>With regard to duplex mode, only TDD duplex needs to be considered as the bands involved in WI[2] are n77 and n78, both of which are TDD bands. The TDD pattern and the number of HARQ processes for TDD in the above table can be reused.</w:t>
      </w:r>
    </w:p>
    <w:p>
      <w:pPr>
        <w:pStyle w:val="62"/>
        <w:keepLines w:val="0"/>
        <w:widowControl w:val="0"/>
        <w:spacing w:before="120" w:after="120"/>
        <w:ind w:left="0" w:firstLine="0"/>
        <w:rPr>
          <w:rFonts w:hint="eastAsia"/>
          <w:lang w:val="en-US" w:eastAsia="zh-CN"/>
        </w:rPr>
      </w:pPr>
      <w:r>
        <w:rPr>
          <w:rFonts w:hint="eastAsia"/>
          <w:lang w:val="en-US" w:eastAsia="zh-CN"/>
        </w:rPr>
        <w:t>With regard to propagation condition, as AWGN is agreed in RAN4# 107 meeting, so the static channel defined in B.1.1[2] can be considered.</w:t>
      </w:r>
    </w:p>
    <w:p>
      <w:pPr>
        <w:pStyle w:val="62"/>
        <w:keepLines w:val="0"/>
        <w:widowControl w:val="0"/>
        <w:spacing w:before="120" w:after="120"/>
        <w:ind w:left="0" w:firstLine="0"/>
        <w:rPr>
          <w:rFonts w:hint="eastAsia"/>
          <w:lang w:val="en-US" w:eastAsia="zh-CN"/>
        </w:rPr>
      </w:pPr>
      <w:r>
        <w:rPr>
          <w:rFonts w:hint="eastAsia"/>
          <w:lang w:val="en-US" w:eastAsia="zh-CN"/>
        </w:rPr>
        <w:t>With regard to a</w:t>
      </w:r>
      <w:r>
        <w:rPr>
          <w:rFonts w:eastAsia="宋体"/>
          <w:lang w:eastAsia="zh-CN"/>
        </w:rPr>
        <w:t>ntenna configuration</w:t>
      </w:r>
      <w:r>
        <w:rPr>
          <w:rFonts w:hint="eastAsia"/>
          <w:lang w:val="en-US" w:eastAsia="zh-CN"/>
        </w:rPr>
        <w:t>, 2Tx 2Rx needs to be considered as 2layer per CC is considered.</w:t>
      </w:r>
    </w:p>
    <w:p>
      <w:pPr>
        <w:pStyle w:val="62"/>
        <w:keepLines w:val="0"/>
        <w:widowControl w:val="0"/>
        <w:spacing w:before="120" w:after="120"/>
        <w:ind w:left="0" w:firstLine="0"/>
        <w:rPr>
          <w:rFonts w:hint="eastAsia"/>
          <w:lang w:val="en-US" w:eastAsia="zh-CN"/>
        </w:rPr>
      </w:pPr>
      <w:r>
        <w:rPr>
          <w:rFonts w:hint="eastAsia"/>
          <w:lang w:val="en-US" w:eastAsia="zh-CN"/>
        </w:rPr>
        <w:t>With regard to MCS, the p</w:t>
      </w:r>
      <w:r>
        <w:rPr>
          <w:lang w:eastAsia="zh-CN"/>
        </w:rPr>
        <w:t>o</w:t>
      </w:r>
      <w:r>
        <w:rPr>
          <w:rFonts w:hint="eastAsia"/>
          <w:lang w:eastAsia="zh-CN"/>
        </w:rPr>
        <w:t xml:space="preserve">wer </w:t>
      </w:r>
      <w:r>
        <w:rPr>
          <w:rFonts w:hint="eastAsia"/>
          <w:lang w:val="en-US" w:eastAsia="zh-CN"/>
        </w:rPr>
        <w:t>imbalance between the two CC need to be determined. Based on the simulation results appended in table A-1 in annex, the MCS1(table1) and MCS23(table2) can be considered for the weaker CC and stronger CC correspondingly.</w:t>
      </w:r>
    </w:p>
    <w:p>
      <w:pPr>
        <w:pStyle w:val="62"/>
        <w:keepLines w:val="0"/>
        <w:widowControl w:val="0"/>
        <w:spacing w:before="120" w:after="120"/>
        <w:ind w:left="0" w:firstLine="0"/>
        <w:rPr>
          <w:rFonts w:hint="eastAsia"/>
          <w:lang w:val="en-US" w:eastAsia="zh-CN"/>
        </w:rPr>
      </w:pPr>
      <w:r>
        <w:rPr>
          <w:rFonts w:hint="eastAsia"/>
          <w:lang w:val="en-US" w:eastAsia="zh-CN"/>
        </w:rPr>
        <w:t>Based on the above analyses, the parameters listed in table 2-2 can be considered for NRCA demodulation requirements with 25dB power imbalance.</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3. To consider the parameters listed in table 2-1 for demodulation requirements of Type 2 UE</w:t>
      </w:r>
    </w:p>
    <w:p>
      <w:pPr>
        <w:pStyle w:val="55"/>
        <w:rPr>
          <w:rFonts w:hint="default" w:eastAsia="宋体"/>
          <w:lang w:val="en-US" w:eastAsia="zh-CN"/>
        </w:rPr>
      </w:pPr>
      <w:r>
        <w:rPr>
          <w:rFonts w:hint="eastAsia"/>
          <w:lang w:val="en-US" w:eastAsia="zh-CN"/>
        </w:rPr>
        <w:t xml:space="preserve">Table 2-2 </w:t>
      </w:r>
      <w:r>
        <w:t xml:space="preserve"> Test parameters</w:t>
      </w:r>
      <w:r>
        <w:rPr>
          <w:rFonts w:hint="eastAsia"/>
          <w:lang w:val="en-US" w:eastAsia="zh-CN"/>
        </w:rPr>
        <w:t xml:space="preserve"> NRCA with power imbalance of 25dB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3657"/>
        <w:gridCol w:w="621"/>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Parameter</w:t>
            </w:r>
          </w:p>
        </w:tc>
        <w:tc>
          <w:tcPr>
            <w:tcW w:w="621" w:type="dxa"/>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Unit</w:t>
            </w:r>
          </w:p>
        </w:tc>
        <w:tc>
          <w:tcPr>
            <w:tcW w:w="3640" w:type="dxa"/>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Duplex mode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highlight w:val="yello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Active DL BWP index</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ropagation condition</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lang w:val="en-US" w:eastAsia="zh-CN"/>
              </w:rPr>
            </w:pPr>
            <w:r>
              <w:rPr>
                <w:rFonts w:hint="eastAsia"/>
                <w:highlight w:val="yellow"/>
                <w:lang w:val="en-US" w:eastAsia="zh-CN"/>
              </w:rPr>
              <w:t xml:space="preserve">Defined in </w:t>
            </w:r>
            <w:r>
              <w:rPr>
                <w:rFonts w:hint="eastAsia" w:eastAsia="宋体"/>
                <w:highlight w:val="yellow"/>
                <w:lang w:eastAsia="zh-CN"/>
              </w:rPr>
              <w:t>B.1.1</w:t>
            </w:r>
            <w:r>
              <w:rPr>
                <w:rFonts w:hint="eastAsia"/>
                <w:highlight w:val="yellow"/>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A</w:t>
            </w:r>
            <w:r>
              <w:rPr>
                <w:rFonts w:eastAsia="宋体"/>
                <w:lang w:eastAsia="zh-CN"/>
              </w:rPr>
              <w:t>ntenna configuration</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highlight w:val="yellow"/>
                <w:lang w:val="en-US" w:eastAsia="zh-CN"/>
              </w:rPr>
              <w:t>2</w:t>
            </w:r>
            <w:r>
              <w:rPr>
                <w:rFonts w:eastAsia="宋体"/>
                <w:highlight w:val="yellow"/>
                <w:lang w:eastAsia="zh-CN"/>
              </w:rPr>
              <w:t>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DSCH configuration</w:t>
            </w:r>
          </w:p>
        </w:tc>
        <w:tc>
          <w:tcPr>
            <w:tcW w:w="3657"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Length (L)</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T</w:t>
            </w:r>
            <w:r>
              <w:rPr>
                <w:rFonts w:eastAsia="宋体"/>
                <w:lang w:eastAsia="zh-CN"/>
              </w:rPr>
              <w:t>DD: 12 for DL slot, 4 for special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i/>
              </w:rPr>
            </w:pPr>
          </w:p>
        </w:tc>
        <w:tc>
          <w:tcPr>
            <w:tcW w:w="3657"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PRB bundling size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WB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Mod</w:t>
            </w:r>
            <w:r>
              <w:rPr>
                <w:rFonts w:eastAsia="宋体"/>
                <w:lang w:eastAsia="zh-CN"/>
              </w:rPr>
              <w:t>ulation and code rate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highlight w:val="yellow"/>
                <w:lang w:val="en-US" w:eastAsia="zh-CN"/>
              </w:rPr>
            </w:pPr>
            <w:r>
              <w:rPr>
                <w:rFonts w:hint="eastAsia"/>
                <w:highlight w:val="yellow"/>
                <w:lang w:val="en-US" w:eastAsia="zh-CN"/>
              </w:rPr>
              <w:t>QPSK</w:t>
            </w:r>
            <w:r>
              <w:rPr>
                <w:rFonts w:eastAsia="宋体"/>
                <w:highlight w:val="yellow"/>
                <w:lang w:eastAsia="zh-CN"/>
              </w:rPr>
              <w:t>, MCS</w:t>
            </w:r>
            <w:r>
              <w:rPr>
                <w:rFonts w:hint="eastAsia"/>
                <w:highlight w:val="yellow"/>
                <w:lang w:val="en-US" w:eastAsia="zh-CN"/>
              </w:rPr>
              <w:t>1(table1)</w:t>
            </w:r>
          </w:p>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highlight w:val="yellow"/>
                <w:lang w:val="en-US" w:eastAsia="zh-CN"/>
              </w:rPr>
            </w:pPr>
            <w:r>
              <w:rPr>
                <w:rFonts w:hint="eastAsia"/>
                <w:highlight w:val="yellow"/>
                <w:lang w:val="en-US" w:eastAsia="zh-CN"/>
              </w:rPr>
              <w:t>256QAM, MCS23(table2)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eastAsia="宋体"/>
                <w:lang w:val="en-US"/>
              </w:rPr>
              <w:t>Number of HARQ Processes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TDD</w:t>
            </w:r>
            <w:r>
              <w:rPr>
                <w:rFonts w:hint="eastAsia" w:eastAsia="宋体"/>
                <w:lang w:eastAsia="zh-CN"/>
              </w:rPr>
              <w:t>:</w:t>
            </w:r>
            <w:r>
              <w:rPr>
                <w:rFonts w:eastAsia="宋体"/>
                <w:lang w:eastAsia="zh-CN"/>
              </w:rPr>
              <w:t xml:space="preserve"> </w:t>
            </w:r>
            <w:r>
              <w:rPr>
                <w:rFonts w:hint="eastAsia" w:eastAsia="宋体"/>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eastAsia="zh-CN"/>
              </w:rPr>
            </w:pPr>
            <w:r>
              <w:rPr>
                <w:rFonts w:eastAsia="宋体"/>
                <w:lang w:val="en-US" w:eastAsia="zh-CN"/>
              </w:rPr>
              <w:t>Maximum number of HARQ transmission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eastAsia="zh-CN"/>
              </w:rPr>
            </w:pPr>
            <w:r>
              <w:rPr>
                <w:rFonts w:hint="eastAsia" w:eastAsia="宋体"/>
                <w:lang w:val="en-US" w:eastAsia="zh-CN"/>
              </w:rPr>
              <w:t>R</w:t>
            </w:r>
            <w:r>
              <w:rPr>
                <w:rFonts w:eastAsia="宋体"/>
                <w:lang w:val="en-US" w:eastAsia="zh-CN"/>
              </w:rPr>
              <w:t>edundancy version coding sequence</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w:t>
            </w: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hint="eastAsia" w:eastAsia="宋体"/>
                <w:lang w:val="en-US" w:eastAsia="zh-CN"/>
              </w:rPr>
              <w:t xml:space="preserve">TDD UL-DL </w:t>
            </w:r>
            <w:r>
              <w:rPr>
                <w:rFonts w:eastAsia="宋体"/>
                <w:lang w:val="en-US" w:eastAsia="zh-CN"/>
              </w:rPr>
              <w:t>pattern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30kHz SCS: FR1.30-1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eastAsia="宋体"/>
              </w:rPr>
              <w:t>The number of slots between PDSCH and corresponding HARQ-ACK information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As defined in Table A.1.2-2 for FR1.30-1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PUCCH format for HARQ-ACK feedback</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UCCH format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cs="Arial"/>
                <w:szCs w:val="18"/>
              </w:rPr>
              <w:t>Overhead</w:t>
            </w:r>
            <w:r>
              <w:rPr>
                <w:rFonts w:eastAsia="宋体" w:cs="Arial"/>
                <w:szCs w:val="18"/>
                <w:lang w:val="en-US"/>
              </w:rPr>
              <w:t xml:space="preserve"> for TBS determination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highlight w:val="yellow"/>
                <w:lang w:eastAsia="zh-CN"/>
              </w:rPr>
            </w:pPr>
            <w:r>
              <w:rPr>
                <w:rFonts w:hint="eastAsia"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cs="Arial"/>
                <w:szCs w:val="18"/>
                <w:lang w:eastAsia="zh-CN"/>
              </w:rPr>
            </w:pPr>
            <w:r>
              <w:rPr>
                <w:rFonts w:hint="eastAsia" w:eastAsia="宋体" w:cs="Arial"/>
                <w:szCs w:val="18"/>
                <w:lang w:eastAsia="zh-CN"/>
              </w:rPr>
              <w:t>S</w:t>
            </w:r>
            <w:r>
              <w:rPr>
                <w:rFonts w:eastAsia="宋体" w:cs="Arial"/>
                <w:szCs w:val="18"/>
                <w:lang w:eastAsia="zh-CN"/>
              </w:rPr>
              <w:t>SB transmission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Slot#0 with periodicity 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cs="Arial"/>
                <w:szCs w:val="18"/>
                <w:lang w:eastAsia="zh-CN"/>
              </w:rPr>
            </w:pPr>
            <w:r>
              <w:rPr>
                <w:rFonts w:eastAsia="宋体" w:cs="Arial"/>
                <w:szCs w:val="18"/>
                <w:lang w:eastAsia="zh-CN"/>
              </w:rPr>
              <w:t>RB assignment</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Full applicable test bandwidth as defined in Table 5.3.5-1 of TS 38.101-1 [6]</w:t>
            </w:r>
          </w:p>
        </w:tc>
      </w:tr>
    </w:tbl>
    <w:p>
      <w:pPr>
        <w:pStyle w:val="62"/>
        <w:keepLines w:val="0"/>
        <w:widowControl w:val="0"/>
        <w:spacing w:before="120" w:after="120"/>
        <w:ind w:left="0" w:firstLine="0"/>
        <w:rPr>
          <w:rFonts w:hint="eastAsia"/>
          <w:b/>
          <w:bCs/>
          <w:i/>
          <w:iCs/>
          <w:kern w:val="2"/>
          <w:lang w:val="en-US" w:eastAsia="zh-CN"/>
        </w:rPr>
      </w:pPr>
    </w:p>
    <w:bookmarkEnd w:id="5"/>
    <w:bookmarkEnd w:id="6"/>
    <w:bookmarkEnd w:id="7"/>
    <w:bookmarkEnd w:id="8"/>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1. To consider the power setting for antenna port of the weaker cc with -112dBm/Hz and the stronger cc with -87dBm/Hz for demodulation requirements of Type 2 UE.</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2. To consider 85% of the maximum throughput as the test metric for demodulation requirements of Type 2 UE.</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3. To consider the parameters listed in table 2-1 for demodulation requirements of Type 2 UE</w:t>
      </w:r>
    </w:p>
    <w:p>
      <w:pPr>
        <w:pStyle w:val="55"/>
        <w:rPr>
          <w:rFonts w:hint="default" w:eastAsia="宋体"/>
          <w:lang w:val="en-US" w:eastAsia="zh-CN"/>
        </w:rPr>
      </w:pPr>
      <w:r>
        <w:rPr>
          <w:rFonts w:hint="eastAsia"/>
          <w:lang w:val="en-US" w:eastAsia="zh-CN"/>
        </w:rPr>
        <w:t xml:space="preserve">Table 2-2 </w:t>
      </w:r>
      <w:r>
        <w:t xml:space="preserve"> Test parameters</w:t>
      </w:r>
      <w:r>
        <w:rPr>
          <w:rFonts w:hint="eastAsia"/>
          <w:lang w:val="en-US" w:eastAsia="zh-CN"/>
        </w:rPr>
        <w:t xml:space="preserve"> NRCA with power imbalance of 25dB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3657"/>
        <w:gridCol w:w="621"/>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Parameter</w:t>
            </w:r>
          </w:p>
        </w:tc>
        <w:tc>
          <w:tcPr>
            <w:tcW w:w="621" w:type="dxa"/>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Unit</w:t>
            </w:r>
          </w:p>
        </w:tc>
        <w:tc>
          <w:tcPr>
            <w:tcW w:w="3640" w:type="dxa"/>
            <w:shd w:val="clear" w:color="auto" w:fill="auto"/>
          </w:tcPr>
          <w:p>
            <w:pPr>
              <w:pStyle w:val="64"/>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Duplex mode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highlight w:val="yello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Active DL BWP index</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ropagation condition</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highlight w:val="yellow"/>
                <w:lang w:val="en-US" w:eastAsia="zh-CN"/>
              </w:rPr>
              <w:t xml:space="preserve">Defined in </w:t>
            </w:r>
            <w:r>
              <w:rPr>
                <w:rFonts w:hint="eastAsia" w:eastAsia="宋体"/>
                <w:highlight w:val="yellow"/>
                <w:lang w:eastAsia="zh-CN"/>
              </w:rPr>
              <w:t>B.1.1</w:t>
            </w:r>
            <w:r>
              <w:rPr>
                <w:rFonts w:hint="eastAsia"/>
                <w:highlight w:val="yellow"/>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A</w:t>
            </w:r>
            <w:r>
              <w:rPr>
                <w:rFonts w:eastAsia="宋体"/>
                <w:lang w:eastAsia="zh-CN"/>
              </w:rPr>
              <w:t>ntenna configuration</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highlight w:val="yellow"/>
                <w:lang w:val="en-US" w:eastAsia="zh-CN"/>
              </w:rPr>
              <w:t>2</w:t>
            </w:r>
            <w:r>
              <w:rPr>
                <w:rFonts w:eastAsia="宋体"/>
                <w:highlight w:val="yellow"/>
                <w:lang w:eastAsia="zh-CN"/>
              </w:rPr>
              <w:t>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DSCH configuration</w:t>
            </w:r>
          </w:p>
        </w:tc>
        <w:tc>
          <w:tcPr>
            <w:tcW w:w="3657"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Length (L)</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T</w:t>
            </w:r>
            <w:r>
              <w:rPr>
                <w:rFonts w:eastAsia="宋体"/>
                <w:lang w:eastAsia="zh-CN"/>
              </w:rPr>
              <w:t>DD: 12 for DL slot, 4 for special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i/>
              </w:rPr>
            </w:pPr>
          </w:p>
        </w:tc>
        <w:tc>
          <w:tcPr>
            <w:tcW w:w="3657"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PRB bundling size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WB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Mod</w:t>
            </w:r>
            <w:r>
              <w:rPr>
                <w:rFonts w:eastAsia="宋体"/>
                <w:lang w:eastAsia="zh-CN"/>
              </w:rPr>
              <w:t>ulation and code rate</w:t>
            </w:r>
          </w:p>
        </w:tc>
        <w:tc>
          <w:tcPr>
            <w:tcW w:w="621"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highlight w:val="yellow"/>
                <w:lang w:val="en-US" w:eastAsia="zh-CN"/>
              </w:rPr>
            </w:pPr>
            <w:r>
              <w:rPr>
                <w:rFonts w:hint="eastAsia"/>
                <w:highlight w:val="yellow"/>
                <w:lang w:val="en-US" w:eastAsia="zh-CN"/>
              </w:rPr>
              <w:t>QPSK</w:t>
            </w:r>
            <w:r>
              <w:rPr>
                <w:rFonts w:eastAsia="宋体"/>
                <w:highlight w:val="yellow"/>
                <w:lang w:eastAsia="zh-CN"/>
              </w:rPr>
              <w:t>, MCS</w:t>
            </w:r>
            <w:r>
              <w:rPr>
                <w:rFonts w:hint="eastAsia"/>
                <w:highlight w:val="yellow"/>
                <w:lang w:val="en-US" w:eastAsia="zh-CN"/>
              </w:rPr>
              <w:t>1(table1)</w:t>
            </w:r>
          </w:p>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highlight w:val="yellow"/>
                <w:lang w:val="en-US" w:eastAsia="zh-CN"/>
              </w:rPr>
            </w:pPr>
            <w:r>
              <w:rPr>
                <w:rFonts w:hint="eastAsia"/>
                <w:highlight w:val="yellow"/>
                <w:lang w:val="en-US" w:eastAsia="zh-CN"/>
              </w:rPr>
              <w:t>256QAM, MCS23(table2)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eastAsia="宋体"/>
                <w:lang w:val="en-US"/>
              </w:rPr>
              <w:t>Number of HARQ Processes</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TDD</w:t>
            </w:r>
            <w:r>
              <w:rPr>
                <w:rFonts w:hint="eastAsia" w:eastAsia="宋体"/>
                <w:lang w:eastAsia="zh-CN"/>
              </w:rPr>
              <w:t>:</w:t>
            </w:r>
            <w:r>
              <w:rPr>
                <w:rFonts w:eastAsia="宋体"/>
                <w:lang w:eastAsia="zh-CN"/>
              </w:rPr>
              <w:t xml:space="preserve"> </w:t>
            </w:r>
            <w:r>
              <w:rPr>
                <w:rFonts w:hint="eastAsia" w:eastAsia="宋体"/>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eastAsia="zh-CN"/>
              </w:rPr>
            </w:pPr>
            <w:r>
              <w:rPr>
                <w:rFonts w:eastAsia="宋体"/>
                <w:lang w:val="en-US" w:eastAsia="zh-CN"/>
              </w:rPr>
              <w:t>Maximum number of HARQ transmission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eastAsia="zh-CN"/>
              </w:rPr>
            </w:pPr>
            <w:r>
              <w:rPr>
                <w:rFonts w:hint="eastAsia" w:eastAsia="宋体"/>
                <w:lang w:val="en-US" w:eastAsia="zh-CN"/>
              </w:rPr>
              <w:t>R</w:t>
            </w:r>
            <w:r>
              <w:rPr>
                <w:rFonts w:eastAsia="宋体"/>
                <w:lang w:val="en-US" w:eastAsia="zh-CN"/>
              </w:rPr>
              <w:t>edundancy version coding sequence</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w:t>
            </w: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hint="eastAsia" w:eastAsia="宋体"/>
                <w:lang w:val="en-US" w:eastAsia="zh-CN"/>
              </w:rPr>
              <w:t xml:space="preserve">TDD UL-DL </w:t>
            </w:r>
            <w:r>
              <w:rPr>
                <w:rFonts w:eastAsia="宋体"/>
                <w:lang w:val="en-US" w:eastAsia="zh-CN"/>
              </w:rPr>
              <w:t>pattern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r>
              <w:rPr>
                <w:rFonts w:eastAsia="宋体"/>
              </w:rPr>
              <w:t>30kHz SCS: FR1.30-1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val="en-US"/>
              </w:rPr>
            </w:pPr>
            <w:r>
              <w:rPr>
                <w:rFonts w:eastAsia="宋体"/>
              </w:rPr>
              <w:t>The number of slots between PDSCH and corresponding HARQ-ACK information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As defined in Table A.1.2-2 for FR1.30-1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PUCCH format for HARQ-ACK feedback</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hint="eastAsia" w:eastAsia="宋体"/>
                <w:lang w:eastAsia="zh-CN"/>
              </w:rPr>
              <w:t>P</w:t>
            </w:r>
            <w:r>
              <w:rPr>
                <w:rFonts w:eastAsia="宋体"/>
                <w:lang w:eastAsia="zh-CN"/>
              </w:rPr>
              <w:t>UCCH format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cs="Arial"/>
                <w:szCs w:val="18"/>
              </w:rPr>
              <w:t>Overhead</w:t>
            </w:r>
            <w:r>
              <w:rPr>
                <w:rFonts w:eastAsia="宋体" w:cs="Arial"/>
                <w:szCs w:val="18"/>
                <w:lang w:val="en-US"/>
              </w:rPr>
              <w:t xml:space="preserve"> for TBS determination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highlight w:val="yellow"/>
                <w:lang w:eastAsia="zh-CN"/>
              </w:rPr>
            </w:pPr>
            <w:r>
              <w:rPr>
                <w:rFonts w:hint="eastAsia"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cs="Arial"/>
                <w:szCs w:val="18"/>
                <w:lang w:eastAsia="zh-CN"/>
              </w:rPr>
            </w:pPr>
            <w:r>
              <w:rPr>
                <w:rFonts w:hint="eastAsia" w:eastAsia="宋体" w:cs="Arial"/>
                <w:szCs w:val="18"/>
                <w:lang w:eastAsia="zh-CN"/>
              </w:rPr>
              <w:t>S</w:t>
            </w:r>
            <w:r>
              <w:rPr>
                <w:rFonts w:eastAsia="宋体" w:cs="Arial"/>
                <w:szCs w:val="18"/>
                <w:lang w:eastAsia="zh-CN"/>
              </w:rPr>
              <w:t>SB transmission</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Slot#0 with periodicity 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cs="Arial"/>
                <w:szCs w:val="18"/>
                <w:lang w:eastAsia="zh-CN"/>
              </w:rPr>
            </w:pPr>
            <w:r>
              <w:rPr>
                <w:rFonts w:eastAsia="宋体" w:cs="Arial"/>
                <w:szCs w:val="18"/>
                <w:lang w:eastAsia="zh-CN"/>
              </w:rPr>
              <w:t>RB assignment</w:t>
            </w:r>
          </w:p>
        </w:tc>
        <w:tc>
          <w:tcPr>
            <w:tcW w:w="6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rPr>
            </w:pPr>
          </w:p>
        </w:tc>
        <w:tc>
          <w:tcPr>
            <w:tcW w:w="36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lang w:eastAsia="zh-CN"/>
              </w:rPr>
            </w:pPr>
            <w:r>
              <w:rPr>
                <w:rFonts w:eastAsia="宋体"/>
                <w:lang w:eastAsia="zh-CN"/>
              </w:rPr>
              <w:t>Full applicable test bandwidth as defined in Table 5.3.5-1 of TS 38.101-1 [6]</w:t>
            </w:r>
          </w:p>
        </w:tc>
      </w:tr>
    </w:tbl>
    <w:p>
      <w:pPr>
        <w:pStyle w:val="62"/>
        <w:keepLines w:val="0"/>
        <w:widowControl w:val="0"/>
        <w:spacing w:before="120" w:after="120"/>
        <w:ind w:left="0" w:firstLine="420" w:firstLineChars="0"/>
        <w:rPr>
          <w:rFonts w:hint="eastAsia"/>
          <w:b/>
          <w:bCs/>
          <w:i/>
          <w:iCs/>
          <w:color w:val="auto"/>
          <w:kern w:val="2"/>
          <w:lang w:val="en-US" w:eastAsia="zh-CN"/>
        </w:rPr>
      </w:pPr>
      <w:r>
        <w:rPr>
          <w:rFonts w:hint="eastAsia"/>
          <w:b/>
          <w:bCs/>
          <w:i/>
          <w:iCs/>
          <w:color w:val="auto"/>
          <w:kern w:val="2"/>
          <w:lang w:val="en-US" w:eastAsia="zh-CN"/>
        </w:rPr>
        <w:br w:type="page"/>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rPr>
        <w:t xml:space="preserve">[1] </w:t>
      </w:r>
      <w:bookmarkStart w:id="12" w:name="OLE_LINK32"/>
      <w:r>
        <w:rPr>
          <w:rFonts w:hint="eastAsia"/>
          <w:sz w:val="20"/>
          <w:lang w:val="en-US" w:eastAsia="zh-CN"/>
        </w:rPr>
        <w:t xml:space="preserve"> </w:t>
      </w:r>
      <w:r>
        <w:rPr>
          <w:rFonts w:hint="eastAsia"/>
          <w:sz w:val="20"/>
        </w:rPr>
        <w:t>R4-2305891</w:t>
      </w:r>
      <w:r>
        <w:rPr>
          <w:rFonts w:hint="eastAsia"/>
          <w:sz w:val="20"/>
          <w:lang w:val="en-US" w:eastAsia="zh-CN"/>
        </w:rPr>
        <w:t xml:space="preserve">, </w:t>
      </w:r>
      <w:r>
        <w:rPr>
          <w:rFonts w:hint="eastAsia"/>
          <w:sz w:val="20"/>
        </w:rPr>
        <w:t>WF on UE demodulation requirements for intra-band non-collocated EN-DC/NR-CA deployment scenario</w:t>
      </w:r>
      <w:r>
        <w:rPr>
          <w:rFonts w:hint="eastAsia"/>
          <w:sz w:val="20"/>
          <w:lang w:val="en-US" w:eastAsia="zh-CN"/>
        </w:rPr>
        <w:t>, Ericsson</w:t>
      </w:r>
      <w:bookmarkEnd w:id="12"/>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[2]  TS 38.101-4 v18.0.0</w:t>
      </w:r>
    </w:p>
    <w:p>
      <w:pPr>
        <w:widowControl w:val="0"/>
        <w:tabs>
          <w:tab w:val="left" w:pos="90"/>
          <w:tab w:val="left" w:pos="1868"/>
          <w:tab w:val="right" w:pos="10648"/>
        </w:tabs>
        <w:spacing w:beforeLines="0" w:afterLines="0" w:line="260" w:lineRule="auto"/>
        <w:jc w:val="left"/>
        <w:rPr>
          <w:rFonts w:hint="eastAsia"/>
          <w:sz w:val="20"/>
          <w:lang w:val="en-US" w:eastAsia="zh-CN"/>
        </w:rPr>
      </w:pPr>
    </w:p>
    <w:p>
      <w:pPr>
        <w:rPr>
          <w:rFonts w:hint="eastAsia"/>
          <w:sz w:val="20"/>
          <w:lang w:val="en-US" w:eastAsia="zh-CN"/>
        </w:rPr>
      </w:pPr>
      <w:r>
        <w:rPr>
          <w:rFonts w:hint="eastAsia"/>
          <w:sz w:val="20"/>
          <w:lang w:val="en-US" w:eastAsia="zh-CN"/>
        </w:rPr>
        <w:br w:type="page"/>
      </w:r>
    </w:p>
    <w:p>
      <w:pPr>
        <w:keepNext/>
        <w:keepLines/>
        <w:widowControl w:val="0"/>
        <w:numPr>
          <w:ilvl w:val="0"/>
          <w:numId w:val="8"/>
        </w:numPr>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Annex</w:t>
      </w:r>
    </w:p>
    <w:p>
      <w:pPr>
        <w:jc w:val="center"/>
        <w:rPr>
          <w:rFonts w:hint="default"/>
          <w:lang w:val="en-US" w:eastAsia="zh-CN"/>
        </w:rPr>
      </w:pPr>
      <w:r>
        <w:rPr>
          <w:rFonts w:hint="eastAsia"/>
          <w:lang w:val="en-US" w:eastAsia="zh-CN"/>
        </w:rPr>
        <w:t>Table A-1 Throughput comparison with different MCS and SNR</w:t>
      </w:r>
    </w:p>
    <w:tbl>
      <w:tblPr>
        <w:tblStyle w:val="23"/>
        <w:tblW w:w="9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706"/>
        <w:gridCol w:w="704"/>
        <w:gridCol w:w="629"/>
        <w:gridCol w:w="660"/>
        <w:gridCol w:w="573"/>
        <w:gridCol w:w="566"/>
        <w:gridCol w:w="661"/>
        <w:gridCol w:w="661"/>
        <w:gridCol w:w="661"/>
        <w:gridCol w:w="661"/>
        <w:gridCol w:w="693"/>
        <w:gridCol w:w="693"/>
        <w:gridCol w:w="566"/>
        <w:gridCol w:w="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73" w:type="dxa"/>
            <mc:AlternateContent>
              <mc:Choice Requires="wpsCustomData">
                <wpsCustomData:diagonals>
                  <wpsCustomData:diagonal from="30000" to="10000">
                    <wpsCustomData:border w:val="single" w:color="auto" w:sz="4" w:space="0"/>
                  </wpsCustomData:diagonal>
                </wpsCustomData:diagonals>
              </mc:Choice>
            </mc:AlternateContent>
          </w:tcPr>
          <w:p>
            <w:pPr>
              <w:overflowPunct w:val="0"/>
              <w:autoSpaceDE w:val="0"/>
              <w:autoSpaceDN w:val="0"/>
              <w:adjustRightInd w:val="0"/>
              <w:snapToGrid w:val="0"/>
              <w:spacing w:after="180" w:line="240" w:lineRule="auto"/>
              <w:textAlignment w:val="baseline"/>
              <w:rPr>
                <w:rFonts w:hint="eastAsia"/>
                <w:sz w:val="15"/>
                <w:szCs w:val="15"/>
                <w:vertAlign w:val="baseline"/>
                <w:lang w:val="en-US" w:eastAsia="zh-CN"/>
              </w:rPr>
            </w:pPr>
          </w:p>
          <w:p>
            <w:pPr>
              <w:overflowPunct w:val="0"/>
              <w:autoSpaceDE w:val="0"/>
              <w:autoSpaceDN w:val="0"/>
              <w:adjustRightInd w:val="0"/>
              <w:snapToGrid w:val="0"/>
              <w:spacing w:after="180" w:line="240" w:lineRule="auto"/>
              <w:textAlignment w:val="baseline"/>
              <mc:AlternateContent>
                <mc:Choice Requires="wpsCustomData">
                  <wpsCustomData:diagonalParaType/>
                </mc:Choice>
              </mc:AlternateContent>
              <w:rPr>
                <w:rFonts w:hint="default"/>
                <w:sz w:val="15"/>
                <w:szCs w:val="15"/>
                <w:vertAlign w:val="baseline"/>
                <w:lang w:val="en-US" w:eastAsia="zh-CN"/>
              </w:rPr>
            </w:pPr>
            <w:r>
              <w:rPr>
                <w:rFonts w:hint="eastAsia"/>
                <w:sz w:val="15"/>
                <w:szCs w:val="15"/>
                <w:vertAlign w:val="baseline"/>
                <w:lang w:val="en-US" w:eastAsia="zh-CN"/>
              </w:rPr>
              <w:t xml:space="preserve">MCS         </w:t>
            </w:r>
          </w:p>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SNR</w:t>
            </w:r>
          </w:p>
        </w:tc>
        <w:tc>
          <w:tcPr>
            <w:tcW w:w="70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-5dB</w:t>
            </w:r>
          </w:p>
        </w:tc>
        <w:tc>
          <w:tcPr>
            <w:tcW w:w="704"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-4dB</w:t>
            </w:r>
          </w:p>
        </w:tc>
        <w:tc>
          <w:tcPr>
            <w:tcW w:w="629"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-3dB</w:t>
            </w:r>
          </w:p>
        </w:tc>
        <w:tc>
          <w:tcPr>
            <w:tcW w:w="660"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-2dB</w:t>
            </w:r>
          </w:p>
        </w:tc>
        <w:tc>
          <w:tcPr>
            <w:tcW w:w="57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-1dB</w:t>
            </w:r>
          </w:p>
        </w:tc>
        <w:tc>
          <w:tcPr>
            <w:tcW w:w="56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0dB</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18dB</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19dB</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20dB</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21dB</w:t>
            </w:r>
          </w:p>
        </w:tc>
        <w:tc>
          <w:tcPr>
            <w:tcW w:w="69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22dB</w:t>
            </w:r>
          </w:p>
        </w:tc>
        <w:tc>
          <w:tcPr>
            <w:tcW w:w="69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23dB</w:t>
            </w:r>
          </w:p>
        </w:tc>
        <w:tc>
          <w:tcPr>
            <w:tcW w:w="56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24dB</w:t>
            </w:r>
          </w:p>
        </w:tc>
        <w:tc>
          <w:tcPr>
            <w:tcW w:w="56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0(table 1)</w:t>
            </w:r>
          </w:p>
        </w:tc>
        <w:tc>
          <w:tcPr>
            <w:tcW w:w="70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default"/>
                <w:sz w:val="15"/>
                <w:szCs w:val="15"/>
                <w:vertAlign w:val="baseline"/>
                <w:lang w:val="en-US" w:eastAsia="zh-CN"/>
              </w:rPr>
              <w:t>0</w:t>
            </w:r>
            <w:r>
              <w:rPr>
                <w:rFonts w:hint="eastAsia"/>
                <w:sz w:val="15"/>
                <w:szCs w:val="15"/>
                <w:vertAlign w:val="baseline"/>
                <w:lang w:val="en-US" w:eastAsia="zh-CN"/>
              </w:rPr>
              <w:t>%</w:t>
            </w:r>
          </w:p>
        </w:tc>
        <w:tc>
          <w:tcPr>
            <w:tcW w:w="704"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61.4</w:t>
            </w:r>
            <w:r>
              <w:rPr>
                <w:rFonts w:hint="eastAsia"/>
                <w:color w:val="auto"/>
                <w:sz w:val="15"/>
                <w:szCs w:val="15"/>
                <w:vertAlign w:val="baseline"/>
                <w:lang w:val="en-US" w:eastAsia="zh-CN"/>
              </w:rPr>
              <w:t>%</w:t>
            </w:r>
          </w:p>
        </w:tc>
        <w:tc>
          <w:tcPr>
            <w:tcW w:w="62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99.0</w:t>
            </w:r>
            <w:r>
              <w:rPr>
                <w:rFonts w:hint="eastAsia"/>
                <w:color w:val="auto"/>
                <w:sz w:val="15"/>
                <w:szCs w:val="15"/>
                <w:vertAlign w:val="baseline"/>
                <w:lang w:val="en-US" w:eastAsia="zh-CN"/>
              </w:rPr>
              <w:t>%</w:t>
            </w:r>
          </w:p>
        </w:tc>
        <w:tc>
          <w:tcPr>
            <w:tcW w:w="660"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default"/>
                <w:sz w:val="15"/>
                <w:szCs w:val="15"/>
                <w:vertAlign w:val="baseline"/>
                <w:lang w:val="en-US" w:eastAsia="zh-CN"/>
              </w:rPr>
              <w:t>99</w:t>
            </w:r>
            <w:r>
              <w:rPr>
                <w:rFonts w:hint="eastAsia"/>
                <w:sz w:val="15"/>
                <w:szCs w:val="15"/>
                <w:vertAlign w:val="baseline"/>
                <w:lang w:val="en-US" w:eastAsia="zh-CN"/>
              </w:rPr>
              <w:t>.9%</w:t>
            </w:r>
          </w:p>
        </w:tc>
        <w:tc>
          <w:tcPr>
            <w:tcW w:w="57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566"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100%</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69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69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566"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100%</w:t>
            </w:r>
          </w:p>
        </w:tc>
        <w:tc>
          <w:tcPr>
            <w:tcW w:w="566"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1(table 1)</w:t>
            </w:r>
          </w:p>
        </w:tc>
        <w:tc>
          <w:tcPr>
            <w:tcW w:w="70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default"/>
                <w:sz w:val="15"/>
                <w:szCs w:val="15"/>
                <w:vertAlign w:val="baseline"/>
                <w:lang w:val="en-US" w:eastAsia="zh-CN"/>
              </w:rPr>
              <w:t>0</w:t>
            </w:r>
            <w:r>
              <w:rPr>
                <w:rFonts w:hint="eastAsia"/>
                <w:sz w:val="15"/>
                <w:szCs w:val="15"/>
                <w:vertAlign w:val="baseline"/>
                <w:lang w:val="en-US" w:eastAsia="zh-CN"/>
              </w:rPr>
              <w:t>%</w:t>
            </w:r>
          </w:p>
        </w:tc>
        <w:tc>
          <w:tcPr>
            <w:tcW w:w="704"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0</w:t>
            </w:r>
            <w:r>
              <w:rPr>
                <w:rFonts w:hint="eastAsia"/>
                <w:color w:val="auto"/>
                <w:sz w:val="15"/>
                <w:szCs w:val="15"/>
                <w:vertAlign w:val="baseline"/>
                <w:lang w:val="en-US" w:eastAsia="zh-CN"/>
              </w:rPr>
              <w:t>%</w:t>
            </w:r>
          </w:p>
        </w:tc>
        <w:tc>
          <w:tcPr>
            <w:tcW w:w="629" w:type="dxa"/>
          </w:tcPr>
          <w:p>
            <w:pPr>
              <w:overflowPunct w:val="0"/>
              <w:autoSpaceDE w:val="0"/>
              <w:autoSpaceDN w:val="0"/>
              <w:adjustRightInd w:val="0"/>
              <w:spacing w:after="180"/>
              <w:textAlignment w:val="baseline"/>
              <w:rPr>
                <w:rFonts w:hint="default"/>
                <w:color w:val="0000FF"/>
                <w:sz w:val="15"/>
                <w:szCs w:val="15"/>
                <w:vertAlign w:val="baseline"/>
                <w:lang w:val="en-US" w:eastAsia="zh-CN"/>
              </w:rPr>
            </w:pPr>
            <w:r>
              <w:rPr>
                <w:rFonts w:hint="default"/>
                <w:color w:val="0000FF"/>
                <w:sz w:val="15"/>
                <w:szCs w:val="15"/>
                <w:vertAlign w:val="baseline"/>
                <w:lang w:val="en-US" w:eastAsia="zh-CN"/>
              </w:rPr>
              <w:t>87.</w:t>
            </w:r>
            <w:r>
              <w:rPr>
                <w:rFonts w:hint="eastAsia"/>
                <w:color w:val="0000FF"/>
                <w:sz w:val="15"/>
                <w:szCs w:val="15"/>
                <w:vertAlign w:val="baseline"/>
                <w:lang w:val="en-US" w:eastAsia="zh-CN"/>
              </w:rPr>
              <w:t>2%</w:t>
            </w:r>
          </w:p>
        </w:tc>
        <w:tc>
          <w:tcPr>
            <w:tcW w:w="660"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99.8%</w:t>
            </w:r>
          </w:p>
        </w:tc>
        <w:tc>
          <w:tcPr>
            <w:tcW w:w="573" w:type="dxa"/>
            <w:vAlign w:val="top"/>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2(table 1)</w:t>
            </w:r>
          </w:p>
        </w:tc>
        <w:tc>
          <w:tcPr>
            <w:tcW w:w="706"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0%</w:t>
            </w:r>
          </w:p>
        </w:tc>
        <w:tc>
          <w:tcPr>
            <w:tcW w:w="704"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29"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0.2</w:t>
            </w:r>
            <w:r>
              <w:rPr>
                <w:rFonts w:hint="eastAsia"/>
                <w:sz w:val="15"/>
                <w:szCs w:val="15"/>
                <w:vertAlign w:val="baseline"/>
                <w:lang w:val="en-US" w:eastAsia="zh-CN"/>
              </w:rPr>
              <w:t>%</w:t>
            </w:r>
          </w:p>
        </w:tc>
        <w:tc>
          <w:tcPr>
            <w:tcW w:w="660"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99.2%</w:t>
            </w:r>
          </w:p>
        </w:tc>
        <w:tc>
          <w:tcPr>
            <w:tcW w:w="573" w:type="dxa"/>
            <w:vAlign w:val="top"/>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28(table 1)</w:t>
            </w:r>
          </w:p>
        </w:tc>
        <w:tc>
          <w:tcPr>
            <w:tcW w:w="706" w:type="dxa"/>
            <w:vAlign w:val="top"/>
          </w:tcPr>
          <w:p>
            <w:pPr>
              <w:overflowPunct w:val="0"/>
              <w:autoSpaceDE w:val="0"/>
              <w:autoSpaceDN w:val="0"/>
              <w:adjustRightInd w:val="0"/>
              <w:spacing w:after="180"/>
              <w:textAlignment w:val="baseline"/>
              <w:rPr>
                <w:rFonts w:hint="default"/>
                <w:sz w:val="15"/>
                <w:szCs w:val="15"/>
                <w:vertAlign w:val="baseline"/>
                <w:lang w:val="en-US" w:eastAsia="zh-CN"/>
              </w:rPr>
            </w:pPr>
            <w:r>
              <w:rPr>
                <w:rFonts w:hint="default"/>
                <w:sz w:val="15"/>
                <w:szCs w:val="15"/>
                <w:vertAlign w:val="baseline"/>
                <w:lang w:val="en-US" w:eastAsia="zh-CN"/>
              </w:rPr>
              <w:t>0</w:t>
            </w:r>
            <w:r>
              <w:rPr>
                <w:rFonts w:hint="eastAsia"/>
                <w:sz w:val="15"/>
                <w:szCs w:val="15"/>
                <w:vertAlign w:val="baseline"/>
                <w:lang w:val="en-US" w:eastAsia="zh-CN"/>
              </w:rPr>
              <w:t>%</w:t>
            </w:r>
          </w:p>
        </w:tc>
        <w:tc>
          <w:tcPr>
            <w:tcW w:w="704" w:type="dxa"/>
            <w:vAlign w:val="top"/>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0%</w:t>
            </w:r>
          </w:p>
        </w:tc>
        <w:tc>
          <w:tcPr>
            <w:tcW w:w="629"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0"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0%</w:t>
            </w:r>
          </w:p>
        </w:tc>
        <w:tc>
          <w:tcPr>
            <w:tcW w:w="57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0%</w:t>
            </w:r>
          </w:p>
        </w:tc>
        <w:tc>
          <w:tcPr>
            <w:tcW w:w="661" w:type="dxa"/>
          </w:tcPr>
          <w:p>
            <w:pPr>
              <w:overflowPunct w:val="0"/>
              <w:autoSpaceDE w:val="0"/>
              <w:autoSpaceDN w:val="0"/>
              <w:adjustRightInd w:val="0"/>
              <w:spacing w:after="180"/>
              <w:textAlignment w:val="baseline"/>
              <w:rPr>
                <w:rFonts w:hint="default"/>
                <w:sz w:val="15"/>
                <w:szCs w:val="15"/>
                <w:vertAlign w:val="baseline"/>
                <w:lang w:val="en-US" w:eastAsia="zh-CN"/>
              </w:rPr>
            </w:pPr>
            <w:r>
              <w:rPr>
                <w:rFonts w:hint="eastAsia"/>
                <w:sz w:val="15"/>
                <w:szCs w:val="15"/>
                <w:vertAlign w:val="baseline"/>
                <w:lang w:val="en-US" w:eastAsia="zh-CN"/>
              </w:rPr>
              <w:t>12.9%</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22(table 2)</w:t>
            </w:r>
          </w:p>
        </w:tc>
        <w:tc>
          <w:tcPr>
            <w:tcW w:w="70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704"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29"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0"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57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1"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99.9%</w:t>
            </w:r>
          </w:p>
        </w:tc>
        <w:tc>
          <w:tcPr>
            <w:tcW w:w="69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69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23(table 2)</w:t>
            </w:r>
          </w:p>
        </w:tc>
        <w:tc>
          <w:tcPr>
            <w:tcW w:w="70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704"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29"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0"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57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1"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61"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color w:val="0000FF"/>
                <w:kern w:val="2"/>
                <w:sz w:val="15"/>
                <w:szCs w:val="15"/>
                <w:vertAlign w:val="baseline"/>
                <w:lang w:val="en-US" w:eastAsia="zh-CN" w:bidi="ar-SA"/>
              </w:rPr>
            </w:pPr>
            <w:r>
              <w:rPr>
                <w:rFonts w:hint="eastAsia" w:cs="Times New Roman"/>
                <w:color w:val="0000FF"/>
                <w:kern w:val="2"/>
                <w:sz w:val="15"/>
                <w:szCs w:val="15"/>
                <w:vertAlign w:val="baseline"/>
                <w:lang w:val="en-US" w:eastAsia="zh-CN" w:bidi="ar-SA"/>
              </w:rPr>
              <w:t>95.2%</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tcPr>
          <w:p>
            <w:pPr>
              <w:overflowPunct w:val="0"/>
              <w:autoSpaceDE w:val="0"/>
              <w:autoSpaceDN w:val="0"/>
              <w:adjustRightInd w:val="0"/>
              <w:spacing w:after="180"/>
              <w:textAlignment w:val="baseline"/>
              <w:rPr>
                <w:rFonts w:hint="eastAsia"/>
                <w:sz w:val="15"/>
                <w:szCs w:val="15"/>
                <w:vertAlign w:val="baseline"/>
                <w:lang w:val="en-US" w:eastAsia="zh-CN"/>
              </w:rPr>
            </w:pPr>
            <w:r>
              <w:rPr>
                <w:rFonts w:hint="eastAsia"/>
                <w:sz w:val="15"/>
                <w:szCs w:val="15"/>
                <w:vertAlign w:val="baseline"/>
                <w:lang w:val="en-US" w:eastAsia="zh-CN"/>
              </w:rPr>
              <w:t>24(table 2)</w:t>
            </w:r>
          </w:p>
        </w:tc>
        <w:tc>
          <w:tcPr>
            <w:tcW w:w="70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704"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29"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0"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57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566"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61"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default"/>
                <w:sz w:val="15"/>
                <w:szCs w:val="15"/>
                <w:vertAlign w:val="baseline"/>
                <w:lang w:val="en-US" w:eastAsia="zh-CN"/>
              </w:rPr>
              <w:t>0</w:t>
            </w:r>
            <w:r>
              <w:rPr>
                <w:rFonts w:hint="eastAsia"/>
                <w:sz w:val="15"/>
                <w:szCs w:val="15"/>
                <w:vertAlign w:val="baseline"/>
                <w:lang w:val="en-US" w:eastAsia="zh-CN"/>
              </w:rPr>
              <w:t>%</w:t>
            </w:r>
          </w:p>
        </w:tc>
        <w:tc>
          <w:tcPr>
            <w:tcW w:w="661"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cs="Times New Roman"/>
                <w:kern w:val="2"/>
                <w:sz w:val="15"/>
                <w:szCs w:val="15"/>
                <w:vertAlign w:val="baseline"/>
                <w:lang w:val="en-US" w:eastAsia="zh-CN" w:bidi="ar-SA"/>
              </w:rPr>
              <w:t>0%</w:t>
            </w:r>
          </w:p>
        </w:tc>
        <w:tc>
          <w:tcPr>
            <w:tcW w:w="693" w:type="dxa"/>
            <w:vAlign w:val="top"/>
          </w:tcPr>
          <w:p>
            <w:pPr>
              <w:overflowPunct w:val="0"/>
              <w:autoSpaceDE w:val="0"/>
              <w:autoSpaceDN w:val="0"/>
              <w:adjustRightInd w:val="0"/>
              <w:spacing w:after="180"/>
              <w:textAlignment w:val="baseline"/>
              <w:rPr>
                <w:rFonts w:hint="default" w:ascii="Times New Roman" w:hAnsi="Times New Roman" w:eastAsia="宋体" w:cs="Times New Roman"/>
                <w:color w:val="0000FF"/>
                <w:kern w:val="2"/>
                <w:sz w:val="15"/>
                <w:szCs w:val="15"/>
                <w:vertAlign w:val="baseline"/>
                <w:lang w:val="en-US" w:eastAsia="zh-CN" w:bidi="ar-SA"/>
              </w:rPr>
            </w:pPr>
            <w:r>
              <w:rPr>
                <w:rFonts w:hint="eastAsia" w:cs="Times New Roman"/>
                <w:color w:val="auto"/>
                <w:kern w:val="2"/>
                <w:sz w:val="15"/>
                <w:szCs w:val="15"/>
                <w:vertAlign w:val="baseline"/>
                <w:lang w:val="en-US" w:eastAsia="zh-CN" w:bidi="ar-SA"/>
              </w:rPr>
              <w:t>99.9%</w:t>
            </w:r>
          </w:p>
        </w:tc>
        <w:tc>
          <w:tcPr>
            <w:tcW w:w="693" w:type="dxa"/>
            <w:vAlign w:val="top"/>
          </w:tcPr>
          <w:p>
            <w:pPr>
              <w:overflowPunct w:val="0"/>
              <w:autoSpaceDE w:val="0"/>
              <w:autoSpaceDN w:val="0"/>
              <w:adjustRightInd w:val="0"/>
              <w:spacing w:after="180"/>
              <w:textAlignment w:val="baseline"/>
              <w:rPr>
                <w:rFonts w:hint="eastAsia"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c>
          <w:tcPr>
            <w:tcW w:w="566"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15"/>
                <w:szCs w:val="15"/>
                <w:vertAlign w:val="baseline"/>
                <w:lang w:val="en-US" w:eastAsia="zh-CN" w:bidi="ar-SA"/>
              </w:rPr>
            </w:pPr>
            <w:r>
              <w:rPr>
                <w:rFonts w:hint="eastAsia"/>
                <w:sz w:val="15"/>
                <w:szCs w:val="15"/>
                <w:vertAlign w:val="baseline"/>
                <w:lang w:val="en-US" w:eastAsia="zh-CN"/>
              </w:rPr>
              <w:t>100%</w:t>
            </w:r>
          </w:p>
        </w:tc>
      </w:tr>
    </w:tbl>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w:t>
      </w: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1565A56"/>
    <w:multiLevelType w:val="multilevel"/>
    <w:tmpl w:val="31565A56"/>
    <w:lvl w:ilvl="0" w:tentative="0">
      <w:start w:val="1"/>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7584DBF"/>
    <w:multiLevelType w:val="singleLevel"/>
    <w:tmpl w:val="67584DBF"/>
    <w:lvl w:ilvl="0" w:tentative="0">
      <w:start w:val="5"/>
      <w:numFmt w:val="decimal"/>
      <w:lvlText w:val="%1"/>
      <w:lvlJc w:val="left"/>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1493"/>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1C2E02"/>
    <w:rsid w:val="014A0623"/>
    <w:rsid w:val="01536583"/>
    <w:rsid w:val="01764F01"/>
    <w:rsid w:val="018107C9"/>
    <w:rsid w:val="01854FE9"/>
    <w:rsid w:val="018E207B"/>
    <w:rsid w:val="0190283E"/>
    <w:rsid w:val="019D155B"/>
    <w:rsid w:val="01A428BB"/>
    <w:rsid w:val="01AE307F"/>
    <w:rsid w:val="01B35169"/>
    <w:rsid w:val="01C00B7B"/>
    <w:rsid w:val="01D30CA9"/>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824DC"/>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23AD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B0F39"/>
    <w:rsid w:val="04A65723"/>
    <w:rsid w:val="04A65EB3"/>
    <w:rsid w:val="04B14B03"/>
    <w:rsid w:val="04D739DC"/>
    <w:rsid w:val="04DA1A87"/>
    <w:rsid w:val="04DE2DA3"/>
    <w:rsid w:val="04DF68B6"/>
    <w:rsid w:val="04EA023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54435"/>
    <w:rsid w:val="059D265F"/>
    <w:rsid w:val="05B92EC1"/>
    <w:rsid w:val="05E078B3"/>
    <w:rsid w:val="05E974AF"/>
    <w:rsid w:val="05EE6827"/>
    <w:rsid w:val="0601277E"/>
    <w:rsid w:val="06031823"/>
    <w:rsid w:val="060C5AED"/>
    <w:rsid w:val="06103146"/>
    <w:rsid w:val="06142F7D"/>
    <w:rsid w:val="06172561"/>
    <w:rsid w:val="061E54DA"/>
    <w:rsid w:val="061E5E22"/>
    <w:rsid w:val="06460B91"/>
    <w:rsid w:val="0654187C"/>
    <w:rsid w:val="065475DE"/>
    <w:rsid w:val="06556C03"/>
    <w:rsid w:val="06782F84"/>
    <w:rsid w:val="067C28D6"/>
    <w:rsid w:val="068E06BC"/>
    <w:rsid w:val="069201CB"/>
    <w:rsid w:val="06956E2E"/>
    <w:rsid w:val="06A47564"/>
    <w:rsid w:val="06A52701"/>
    <w:rsid w:val="06B741D9"/>
    <w:rsid w:val="06C457B6"/>
    <w:rsid w:val="06CD4A70"/>
    <w:rsid w:val="06D66BD1"/>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232CF"/>
    <w:rsid w:val="07C32C10"/>
    <w:rsid w:val="07C55A1A"/>
    <w:rsid w:val="07D57946"/>
    <w:rsid w:val="07EC3358"/>
    <w:rsid w:val="07ED524D"/>
    <w:rsid w:val="07EF5756"/>
    <w:rsid w:val="080124E3"/>
    <w:rsid w:val="080C7FA0"/>
    <w:rsid w:val="08193C24"/>
    <w:rsid w:val="08234820"/>
    <w:rsid w:val="08283516"/>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64918"/>
    <w:rsid w:val="08FC0AA5"/>
    <w:rsid w:val="09306537"/>
    <w:rsid w:val="09355076"/>
    <w:rsid w:val="09392119"/>
    <w:rsid w:val="093C36F4"/>
    <w:rsid w:val="09445E95"/>
    <w:rsid w:val="09543B3B"/>
    <w:rsid w:val="09600FBD"/>
    <w:rsid w:val="0972595C"/>
    <w:rsid w:val="098143BC"/>
    <w:rsid w:val="098500F1"/>
    <w:rsid w:val="09B060BF"/>
    <w:rsid w:val="09BD407A"/>
    <w:rsid w:val="09DA0E26"/>
    <w:rsid w:val="09E55691"/>
    <w:rsid w:val="09F062F6"/>
    <w:rsid w:val="09F67CD5"/>
    <w:rsid w:val="09FE2DA3"/>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BB2D7D"/>
    <w:rsid w:val="0AC01F88"/>
    <w:rsid w:val="0AC0212C"/>
    <w:rsid w:val="0ACE5B04"/>
    <w:rsid w:val="0AD542C1"/>
    <w:rsid w:val="0ADD5A20"/>
    <w:rsid w:val="0AE10FD9"/>
    <w:rsid w:val="0AF13898"/>
    <w:rsid w:val="0AFB3228"/>
    <w:rsid w:val="0AFC6C07"/>
    <w:rsid w:val="0B0025CC"/>
    <w:rsid w:val="0B0250FD"/>
    <w:rsid w:val="0B0F025C"/>
    <w:rsid w:val="0B1A6333"/>
    <w:rsid w:val="0B1F6D32"/>
    <w:rsid w:val="0B2713F4"/>
    <w:rsid w:val="0B3D1C8E"/>
    <w:rsid w:val="0B3D701F"/>
    <w:rsid w:val="0B3E7DD7"/>
    <w:rsid w:val="0B561995"/>
    <w:rsid w:val="0B5C2C2A"/>
    <w:rsid w:val="0B665E0A"/>
    <w:rsid w:val="0B6A3C32"/>
    <w:rsid w:val="0B72402A"/>
    <w:rsid w:val="0B743FE2"/>
    <w:rsid w:val="0B847B39"/>
    <w:rsid w:val="0B987E20"/>
    <w:rsid w:val="0B9E71DF"/>
    <w:rsid w:val="0BAD5CC5"/>
    <w:rsid w:val="0BAD5EDC"/>
    <w:rsid w:val="0BAF59B9"/>
    <w:rsid w:val="0BB524B8"/>
    <w:rsid w:val="0BB756DF"/>
    <w:rsid w:val="0BC3647F"/>
    <w:rsid w:val="0BC63DB2"/>
    <w:rsid w:val="0BCC4043"/>
    <w:rsid w:val="0BCC4B6A"/>
    <w:rsid w:val="0BDC04F4"/>
    <w:rsid w:val="0BF916CE"/>
    <w:rsid w:val="0C04318C"/>
    <w:rsid w:val="0C0A1662"/>
    <w:rsid w:val="0C1A119A"/>
    <w:rsid w:val="0C1E494F"/>
    <w:rsid w:val="0C2E2B5D"/>
    <w:rsid w:val="0C3427D0"/>
    <w:rsid w:val="0C43327D"/>
    <w:rsid w:val="0C4426AF"/>
    <w:rsid w:val="0C4577EC"/>
    <w:rsid w:val="0C4F7881"/>
    <w:rsid w:val="0C5332CA"/>
    <w:rsid w:val="0C5C6396"/>
    <w:rsid w:val="0C63431B"/>
    <w:rsid w:val="0C650A20"/>
    <w:rsid w:val="0C690EFA"/>
    <w:rsid w:val="0C6E11B8"/>
    <w:rsid w:val="0C6F1666"/>
    <w:rsid w:val="0C723CD1"/>
    <w:rsid w:val="0C8B63A3"/>
    <w:rsid w:val="0C8F25A7"/>
    <w:rsid w:val="0CA3502C"/>
    <w:rsid w:val="0CB94808"/>
    <w:rsid w:val="0CC37BC2"/>
    <w:rsid w:val="0CD87ABE"/>
    <w:rsid w:val="0CE26C42"/>
    <w:rsid w:val="0CE632FF"/>
    <w:rsid w:val="0CE76B48"/>
    <w:rsid w:val="0CEB5DBE"/>
    <w:rsid w:val="0CF06BF8"/>
    <w:rsid w:val="0CFB523A"/>
    <w:rsid w:val="0D1B1E9C"/>
    <w:rsid w:val="0D410DD6"/>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5C6970"/>
    <w:rsid w:val="0E6271DF"/>
    <w:rsid w:val="0E81568A"/>
    <w:rsid w:val="0E942250"/>
    <w:rsid w:val="0E963344"/>
    <w:rsid w:val="0E9E6E00"/>
    <w:rsid w:val="0EA40C1C"/>
    <w:rsid w:val="0EB72E4B"/>
    <w:rsid w:val="0EDA509E"/>
    <w:rsid w:val="0EEC6F1D"/>
    <w:rsid w:val="0F103291"/>
    <w:rsid w:val="0F1D498B"/>
    <w:rsid w:val="0F1E5A47"/>
    <w:rsid w:val="0F337178"/>
    <w:rsid w:val="0F3B15FC"/>
    <w:rsid w:val="0F41022A"/>
    <w:rsid w:val="0F56743B"/>
    <w:rsid w:val="0F60682C"/>
    <w:rsid w:val="0F6763D9"/>
    <w:rsid w:val="0F6E5243"/>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93252F"/>
    <w:rsid w:val="10C715C5"/>
    <w:rsid w:val="10CF7617"/>
    <w:rsid w:val="10D335EF"/>
    <w:rsid w:val="10E746EA"/>
    <w:rsid w:val="10E83FE0"/>
    <w:rsid w:val="10EC3168"/>
    <w:rsid w:val="10F52718"/>
    <w:rsid w:val="114028DC"/>
    <w:rsid w:val="1141355F"/>
    <w:rsid w:val="1151152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E65320"/>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BE00A8"/>
    <w:rsid w:val="12C43A00"/>
    <w:rsid w:val="12C7312B"/>
    <w:rsid w:val="12D22971"/>
    <w:rsid w:val="12D85654"/>
    <w:rsid w:val="12DF4A87"/>
    <w:rsid w:val="12EE5106"/>
    <w:rsid w:val="12F41461"/>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96F48"/>
    <w:rsid w:val="139D3156"/>
    <w:rsid w:val="13AA5FA1"/>
    <w:rsid w:val="13AE08F8"/>
    <w:rsid w:val="13AF6488"/>
    <w:rsid w:val="13C20262"/>
    <w:rsid w:val="13D024B3"/>
    <w:rsid w:val="13D115EF"/>
    <w:rsid w:val="13D86A45"/>
    <w:rsid w:val="13DD445E"/>
    <w:rsid w:val="13DE7C83"/>
    <w:rsid w:val="13F3590D"/>
    <w:rsid w:val="13F56F67"/>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362171"/>
    <w:rsid w:val="154D342A"/>
    <w:rsid w:val="15520877"/>
    <w:rsid w:val="1559587F"/>
    <w:rsid w:val="15723848"/>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3E09F1"/>
    <w:rsid w:val="17416499"/>
    <w:rsid w:val="17481B81"/>
    <w:rsid w:val="17481E8B"/>
    <w:rsid w:val="1748709D"/>
    <w:rsid w:val="174A69B0"/>
    <w:rsid w:val="175007ED"/>
    <w:rsid w:val="175310BE"/>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1474"/>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513F6"/>
    <w:rsid w:val="18C9089D"/>
    <w:rsid w:val="18CA40C3"/>
    <w:rsid w:val="18CD7A02"/>
    <w:rsid w:val="18ED46F4"/>
    <w:rsid w:val="19001FFC"/>
    <w:rsid w:val="190D51C6"/>
    <w:rsid w:val="190E2B4A"/>
    <w:rsid w:val="191D47DA"/>
    <w:rsid w:val="191F7D1E"/>
    <w:rsid w:val="19256D7A"/>
    <w:rsid w:val="192A7C07"/>
    <w:rsid w:val="193275C2"/>
    <w:rsid w:val="193C7A51"/>
    <w:rsid w:val="194D2005"/>
    <w:rsid w:val="19655A52"/>
    <w:rsid w:val="19663168"/>
    <w:rsid w:val="196D3E9E"/>
    <w:rsid w:val="197724BD"/>
    <w:rsid w:val="19786B0A"/>
    <w:rsid w:val="197E59C1"/>
    <w:rsid w:val="198A41A1"/>
    <w:rsid w:val="199A2059"/>
    <w:rsid w:val="19A638E8"/>
    <w:rsid w:val="19B02FFE"/>
    <w:rsid w:val="19B30945"/>
    <w:rsid w:val="19B46E10"/>
    <w:rsid w:val="19BE58D4"/>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EE6FEB"/>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609E0"/>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33471"/>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9236B"/>
    <w:rsid w:val="1E2F243E"/>
    <w:rsid w:val="1E3B4F6B"/>
    <w:rsid w:val="1E455D19"/>
    <w:rsid w:val="1E502667"/>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93B01"/>
    <w:rsid w:val="1F0E5D6B"/>
    <w:rsid w:val="1F121431"/>
    <w:rsid w:val="1F3218E8"/>
    <w:rsid w:val="1F3E662A"/>
    <w:rsid w:val="1F4B46FD"/>
    <w:rsid w:val="1F4F2219"/>
    <w:rsid w:val="1F5115DB"/>
    <w:rsid w:val="1F51238F"/>
    <w:rsid w:val="1F5353B6"/>
    <w:rsid w:val="1F614D01"/>
    <w:rsid w:val="1F721405"/>
    <w:rsid w:val="1F804693"/>
    <w:rsid w:val="1F825709"/>
    <w:rsid w:val="1F935819"/>
    <w:rsid w:val="1FA6556D"/>
    <w:rsid w:val="1FAF2571"/>
    <w:rsid w:val="1FB66DAA"/>
    <w:rsid w:val="1FC55EDA"/>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0F126A"/>
    <w:rsid w:val="21124D15"/>
    <w:rsid w:val="211C6B81"/>
    <w:rsid w:val="213E7119"/>
    <w:rsid w:val="21530058"/>
    <w:rsid w:val="21732704"/>
    <w:rsid w:val="21810744"/>
    <w:rsid w:val="218D6EF5"/>
    <w:rsid w:val="2195668B"/>
    <w:rsid w:val="219F69EC"/>
    <w:rsid w:val="21A130EA"/>
    <w:rsid w:val="21AB278B"/>
    <w:rsid w:val="21C267BF"/>
    <w:rsid w:val="21CD6BCD"/>
    <w:rsid w:val="21CE6067"/>
    <w:rsid w:val="21CF439A"/>
    <w:rsid w:val="21D55704"/>
    <w:rsid w:val="21F00127"/>
    <w:rsid w:val="220602B9"/>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C2366E"/>
    <w:rsid w:val="23D17D7B"/>
    <w:rsid w:val="23D36D91"/>
    <w:rsid w:val="23F70BA5"/>
    <w:rsid w:val="23F93D0D"/>
    <w:rsid w:val="2405417E"/>
    <w:rsid w:val="241B5C62"/>
    <w:rsid w:val="2430498A"/>
    <w:rsid w:val="24342C37"/>
    <w:rsid w:val="24352A14"/>
    <w:rsid w:val="243B2F20"/>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313476"/>
    <w:rsid w:val="25345E3D"/>
    <w:rsid w:val="254A35DD"/>
    <w:rsid w:val="25657E8F"/>
    <w:rsid w:val="25734B61"/>
    <w:rsid w:val="258129C3"/>
    <w:rsid w:val="258F6BC4"/>
    <w:rsid w:val="25975923"/>
    <w:rsid w:val="259A3D0A"/>
    <w:rsid w:val="259F2704"/>
    <w:rsid w:val="25A95F3E"/>
    <w:rsid w:val="25BF6041"/>
    <w:rsid w:val="25C35718"/>
    <w:rsid w:val="25CF0252"/>
    <w:rsid w:val="25D0248E"/>
    <w:rsid w:val="25D61C5C"/>
    <w:rsid w:val="25DB6446"/>
    <w:rsid w:val="25F81D70"/>
    <w:rsid w:val="25FB5636"/>
    <w:rsid w:val="25FE58A9"/>
    <w:rsid w:val="26070462"/>
    <w:rsid w:val="260D2C45"/>
    <w:rsid w:val="26395C92"/>
    <w:rsid w:val="26427CA6"/>
    <w:rsid w:val="26465DA0"/>
    <w:rsid w:val="26483FF7"/>
    <w:rsid w:val="265A5249"/>
    <w:rsid w:val="266237C3"/>
    <w:rsid w:val="267550B9"/>
    <w:rsid w:val="26904F74"/>
    <w:rsid w:val="26942D1C"/>
    <w:rsid w:val="26B020D4"/>
    <w:rsid w:val="26C472EC"/>
    <w:rsid w:val="26EC491A"/>
    <w:rsid w:val="26ED73E1"/>
    <w:rsid w:val="26F503CD"/>
    <w:rsid w:val="27036506"/>
    <w:rsid w:val="27047832"/>
    <w:rsid w:val="2706037D"/>
    <w:rsid w:val="270D152E"/>
    <w:rsid w:val="27204B5D"/>
    <w:rsid w:val="27217DBD"/>
    <w:rsid w:val="27220F15"/>
    <w:rsid w:val="272F31A0"/>
    <w:rsid w:val="27310CAC"/>
    <w:rsid w:val="27342901"/>
    <w:rsid w:val="273D2762"/>
    <w:rsid w:val="27470B72"/>
    <w:rsid w:val="2750457D"/>
    <w:rsid w:val="27525E32"/>
    <w:rsid w:val="27604751"/>
    <w:rsid w:val="2778582E"/>
    <w:rsid w:val="27806765"/>
    <w:rsid w:val="27832596"/>
    <w:rsid w:val="278C1620"/>
    <w:rsid w:val="278C5523"/>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1A045D"/>
    <w:rsid w:val="2A1A671B"/>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470E4"/>
    <w:rsid w:val="2B2843BE"/>
    <w:rsid w:val="2B2B6079"/>
    <w:rsid w:val="2B313FC1"/>
    <w:rsid w:val="2B347C14"/>
    <w:rsid w:val="2B39348E"/>
    <w:rsid w:val="2B3B2EA6"/>
    <w:rsid w:val="2B437285"/>
    <w:rsid w:val="2B474E9C"/>
    <w:rsid w:val="2B494377"/>
    <w:rsid w:val="2B4D695C"/>
    <w:rsid w:val="2B5016B3"/>
    <w:rsid w:val="2B514803"/>
    <w:rsid w:val="2B603DE1"/>
    <w:rsid w:val="2B637D4B"/>
    <w:rsid w:val="2B6B1684"/>
    <w:rsid w:val="2B7B70BF"/>
    <w:rsid w:val="2B7C012E"/>
    <w:rsid w:val="2B7E4C41"/>
    <w:rsid w:val="2B853AF3"/>
    <w:rsid w:val="2B8B422C"/>
    <w:rsid w:val="2B8E38FD"/>
    <w:rsid w:val="2BA07D38"/>
    <w:rsid w:val="2BB756FF"/>
    <w:rsid w:val="2BC40957"/>
    <w:rsid w:val="2BCB5DAA"/>
    <w:rsid w:val="2BCE272F"/>
    <w:rsid w:val="2BD65380"/>
    <w:rsid w:val="2BE725D0"/>
    <w:rsid w:val="2BF369B9"/>
    <w:rsid w:val="2BFC0A4A"/>
    <w:rsid w:val="2C094904"/>
    <w:rsid w:val="2C0D6DD8"/>
    <w:rsid w:val="2C0E55A1"/>
    <w:rsid w:val="2C3A7BF6"/>
    <w:rsid w:val="2C425BCE"/>
    <w:rsid w:val="2C44676A"/>
    <w:rsid w:val="2C495C38"/>
    <w:rsid w:val="2C4A080C"/>
    <w:rsid w:val="2C54533B"/>
    <w:rsid w:val="2C591378"/>
    <w:rsid w:val="2C642BA5"/>
    <w:rsid w:val="2C713FEB"/>
    <w:rsid w:val="2C797A76"/>
    <w:rsid w:val="2C8F4862"/>
    <w:rsid w:val="2C9E5AC8"/>
    <w:rsid w:val="2CA2721B"/>
    <w:rsid w:val="2CAC6D87"/>
    <w:rsid w:val="2CB600FC"/>
    <w:rsid w:val="2CB82DD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703A1"/>
    <w:rsid w:val="2D8A3FA2"/>
    <w:rsid w:val="2D9767DC"/>
    <w:rsid w:val="2D980DDC"/>
    <w:rsid w:val="2D987372"/>
    <w:rsid w:val="2D9D0109"/>
    <w:rsid w:val="2DB072FF"/>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177D27"/>
    <w:rsid w:val="2F2D445E"/>
    <w:rsid w:val="2F4F6FBB"/>
    <w:rsid w:val="2F5D5857"/>
    <w:rsid w:val="2F664E2B"/>
    <w:rsid w:val="2F6C7BE3"/>
    <w:rsid w:val="2F783485"/>
    <w:rsid w:val="2F7F5C0B"/>
    <w:rsid w:val="2F8D4EDD"/>
    <w:rsid w:val="2FA0088D"/>
    <w:rsid w:val="2FA6492D"/>
    <w:rsid w:val="2FC03679"/>
    <w:rsid w:val="2FC86676"/>
    <w:rsid w:val="2FD17A1B"/>
    <w:rsid w:val="2FD71CA4"/>
    <w:rsid w:val="2FDC4A8D"/>
    <w:rsid w:val="2FF93066"/>
    <w:rsid w:val="301A71CE"/>
    <w:rsid w:val="301E049B"/>
    <w:rsid w:val="30206236"/>
    <w:rsid w:val="302A4BE6"/>
    <w:rsid w:val="303A4357"/>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41C97"/>
    <w:rsid w:val="31EF7EE8"/>
    <w:rsid w:val="3201404F"/>
    <w:rsid w:val="320901F5"/>
    <w:rsid w:val="320B7CCB"/>
    <w:rsid w:val="32105DE8"/>
    <w:rsid w:val="3235187E"/>
    <w:rsid w:val="3237186B"/>
    <w:rsid w:val="323B6798"/>
    <w:rsid w:val="32454803"/>
    <w:rsid w:val="324A3219"/>
    <w:rsid w:val="32537B57"/>
    <w:rsid w:val="325779E7"/>
    <w:rsid w:val="325F618E"/>
    <w:rsid w:val="32757E99"/>
    <w:rsid w:val="327D43E5"/>
    <w:rsid w:val="328F5534"/>
    <w:rsid w:val="329A6ACE"/>
    <w:rsid w:val="32A145CA"/>
    <w:rsid w:val="32A230DB"/>
    <w:rsid w:val="32BE0772"/>
    <w:rsid w:val="32DF351E"/>
    <w:rsid w:val="32E101FC"/>
    <w:rsid w:val="32EE5E41"/>
    <w:rsid w:val="32F40F87"/>
    <w:rsid w:val="32FD7C76"/>
    <w:rsid w:val="330643F9"/>
    <w:rsid w:val="330C22FC"/>
    <w:rsid w:val="330D4310"/>
    <w:rsid w:val="3327171C"/>
    <w:rsid w:val="33540E5D"/>
    <w:rsid w:val="335A0521"/>
    <w:rsid w:val="335E7B11"/>
    <w:rsid w:val="3364318B"/>
    <w:rsid w:val="33691888"/>
    <w:rsid w:val="336A499A"/>
    <w:rsid w:val="33714830"/>
    <w:rsid w:val="33737F51"/>
    <w:rsid w:val="337964FF"/>
    <w:rsid w:val="337D34FB"/>
    <w:rsid w:val="337E2DAF"/>
    <w:rsid w:val="33802063"/>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C00736"/>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E14BFE"/>
    <w:rsid w:val="35FF6F3C"/>
    <w:rsid w:val="36075F27"/>
    <w:rsid w:val="360D1C5B"/>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EA73B8"/>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2D366B"/>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05B10"/>
    <w:rsid w:val="3C276807"/>
    <w:rsid w:val="3C371D4B"/>
    <w:rsid w:val="3C3B4B9D"/>
    <w:rsid w:val="3C3B7D68"/>
    <w:rsid w:val="3C413C82"/>
    <w:rsid w:val="3C471C36"/>
    <w:rsid w:val="3C4B0140"/>
    <w:rsid w:val="3C4D66ED"/>
    <w:rsid w:val="3C5A6B66"/>
    <w:rsid w:val="3C734413"/>
    <w:rsid w:val="3C923F62"/>
    <w:rsid w:val="3C982C18"/>
    <w:rsid w:val="3CA315C6"/>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237AF7"/>
    <w:rsid w:val="3E3A04FA"/>
    <w:rsid w:val="3E3D6B96"/>
    <w:rsid w:val="3E441C7D"/>
    <w:rsid w:val="3E46184C"/>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F5AD7"/>
    <w:rsid w:val="3F5E37ED"/>
    <w:rsid w:val="3F643908"/>
    <w:rsid w:val="3F6B75A6"/>
    <w:rsid w:val="3F8C0A49"/>
    <w:rsid w:val="3F8E7DCD"/>
    <w:rsid w:val="3F913853"/>
    <w:rsid w:val="3F9660C3"/>
    <w:rsid w:val="3F9724DD"/>
    <w:rsid w:val="3FA514FA"/>
    <w:rsid w:val="3FA827ED"/>
    <w:rsid w:val="3FB45C58"/>
    <w:rsid w:val="3FC36557"/>
    <w:rsid w:val="3FC956FF"/>
    <w:rsid w:val="3FD13F50"/>
    <w:rsid w:val="3FD24E72"/>
    <w:rsid w:val="3FDC5F31"/>
    <w:rsid w:val="3FE04625"/>
    <w:rsid w:val="3FE86CE8"/>
    <w:rsid w:val="3FFB0F66"/>
    <w:rsid w:val="3FFC05FC"/>
    <w:rsid w:val="40146E6B"/>
    <w:rsid w:val="403052F1"/>
    <w:rsid w:val="40330D29"/>
    <w:rsid w:val="404469FD"/>
    <w:rsid w:val="404A2717"/>
    <w:rsid w:val="404E779F"/>
    <w:rsid w:val="4059090D"/>
    <w:rsid w:val="4065170A"/>
    <w:rsid w:val="406A337A"/>
    <w:rsid w:val="406E5CAB"/>
    <w:rsid w:val="40713C35"/>
    <w:rsid w:val="408376F8"/>
    <w:rsid w:val="40901AD0"/>
    <w:rsid w:val="40A25054"/>
    <w:rsid w:val="40A325E0"/>
    <w:rsid w:val="40B7228C"/>
    <w:rsid w:val="40BD0DA1"/>
    <w:rsid w:val="40EC7D18"/>
    <w:rsid w:val="40ED11A0"/>
    <w:rsid w:val="40F86967"/>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6F79D5"/>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0404E"/>
    <w:rsid w:val="430E7E66"/>
    <w:rsid w:val="4332317A"/>
    <w:rsid w:val="433246A0"/>
    <w:rsid w:val="433E162C"/>
    <w:rsid w:val="433F6B54"/>
    <w:rsid w:val="4346543A"/>
    <w:rsid w:val="43486472"/>
    <w:rsid w:val="43533E29"/>
    <w:rsid w:val="435A3AE6"/>
    <w:rsid w:val="435B1259"/>
    <w:rsid w:val="436263D5"/>
    <w:rsid w:val="437556C4"/>
    <w:rsid w:val="437A5D15"/>
    <w:rsid w:val="43874CD4"/>
    <w:rsid w:val="438D061F"/>
    <w:rsid w:val="439B699F"/>
    <w:rsid w:val="43A41ACE"/>
    <w:rsid w:val="43AF2D32"/>
    <w:rsid w:val="43B76E4F"/>
    <w:rsid w:val="43CF0206"/>
    <w:rsid w:val="43D85D6D"/>
    <w:rsid w:val="43DF6B45"/>
    <w:rsid w:val="43E01276"/>
    <w:rsid w:val="43E43374"/>
    <w:rsid w:val="43EC6F1F"/>
    <w:rsid w:val="43FE44BA"/>
    <w:rsid w:val="440D5045"/>
    <w:rsid w:val="440F6C97"/>
    <w:rsid w:val="44171125"/>
    <w:rsid w:val="44205D38"/>
    <w:rsid w:val="442B0DCE"/>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B53FA5"/>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574132"/>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7E00560"/>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03A4E"/>
    <w:rsid w:val="4AA341CC"/>
    <w:rsid w:val="4AA8314E"/>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44964"/>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CF69F3"/>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2E3411"/>
    <w:rsid w:val="51471753"/>
    <w:rsid w:val="514E4912"/>
    <w:rsid w:val="515400FF"/>
    <w:rsid w:val="51547D82"/>
    <w:rsid w:val="515D735D"/>
    <w:rsid w:val="51781A83"/>
    <w:rsid w:val="51867298"/>
    <w:rsid w:val="51894D69"/>
    <w:rsid w:val="518D21E1"/>
    <w:rsid w:val="51930297"/>
    <w:rsid w:val="51953936"/>
    <w:rsid w:val="519E116A"/>
    <w:rsid w:val="51A2793A"/>
    <w:rsid w:val="51A5034B"/>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CC1289"/>
    <w:rsid w:val="53D6247A"/>
    <w:rsid w:val="53DB3477"/>
    <w:rsid w:val="53DE00FF"/>
    <w:rsid w:val="53E77CBF"/>
    <w:rsid w:val="53FE7128"/>
    <w:rsid w:val="540F3D40"/>
    <w:rsid w:val="54201800"/>
    <w:rsid w:val="54247F22"/>
    <w:rsid w:val="542B4430"/>
    <w:rsid w:val="542C29CD"/>
    <w:rsid w:val="542F1551"/>
    <w:rsid w:val="54381756"/>
    <w:rsid w:val="545750B7"/>
    <w:rsid w:val="545A1EBF"/>
    <w:rsid w:val="54655B0D"/>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3043D"/>
    <w:rsid w:val="552A6B56"/>
    <w:rsid w:val="5532385A"/>
    <w:rsid w:val="55381D42"/>
    <w:rsid w:val="553C58B1"/>
    <w:rsid w:val="55401B14"/>
    <w:rsid w:val="554748F2"/>
    <w:rsid w:val="554D414C"/>
    <w:rsid w:val="554E7279"/>
    <w:rsid w:val="55594FFB"/>
    <w:rsid w:val="55637CEB"/>
    <w:rsid w:val="55677DDA"/>
    <w:rsid w:val="55757FB9"/>
    <w:rsid w:val="5582450A"/>
    <w:rsid w:val="55832BF8"/>
    <w:rsid w:val="55884237"/>
    <w:rsid w:val="558C7FAA"/>
    <w:rsid w:val="55900510"/>
    <w:rsid w:val="55947881"/>
    <w:rsid w:val="55A25EB7"/>
    <w:rsid w:val="55A82784"/>
    <w:rsid w:val="55A97512"/>
    <w:rsid w:val="55B505F3"/>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84ED9"/>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23B5"/>
    <w:rsid w:val="57B76EED"/>
    <w:rsid w:val="57BD72A7"/>
    <w:rsid w:val="57BE5838"/>
    <w:rsid w:val="57BE5B51"/>
    <w:rsid w:val="57D82354"/>
    <w:rsid w:val="57FC07D9"/>
    <w:rsid w:val="57FF6992"/>
    <w:rsid w:val="580F1B21"/>
    <w:rsid w:val="581B7E79"/>
    <w:rsid w:val="583D4C48"/>
    <w:rsid w:val="58500F22"/>
    <w:rsid w:val="58587379"/>
    <w:rsid w:val="586D57A3"/>
    <w:rsid w:val="587917A0"/>
    <w:rsid w:val="587A4288"/>
    <w:rsid w:val="5880052B"/>
    <w:rsid w:val="58AD27D9"/>
    <w:rsid w:val="58B169A2"/>
    <w:rsid w:val="58B9636C"/>
    <w:rsid w:val="58C37133"/>
    <w:rsid w:val="58C93046"/>
    <w:rsid w:val="58D36BCB"/>
    <w:rsid w:val="58E00BA4"/>
    <w:rsid w:val="58E6349C"/>
    <w:rsid w:val="58EF63EE"/>
    <w:rsid w:val="58F65D04"/>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211C2"/>
    <w:rsid w:val="59F40864"/>
    <w:rsid w:val="59F70BAF"/>
    <w:rsid w:val="5A0D5C90"/>
    <w:rsid w:val="5A0F4AFB"/>
    <w:rsid w:val="5A297D0D"/>
    <w:rsid w:val="5A3B166C"/>
    <w:rsid w:val="5A3C0F08"/>
    <w:rsid w:val="5A3E5B83"/>
    <w:rsid w:val="5A54407C"/>
    <w:rsid w:val="5A5663A3"/>
    <w:rsid w:val="5A571746"/>
    <w:rsid w:val="5A6253E3"/>
    <w:rsid w:val="5A680E5C"/>
    <w:rsid w:val="5A7D10B2"/>
    <w:rsid w:val="5A87209D"/>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46A7A"/>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A65936"/>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84B02"/>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92431"/>
    <w:rsid w:val="5F8F0B9E"/>
    <w:rsid w:val="5F8F267A"/>
    <w:rsid w:val="5F9E5613"/>
    <w:rsid w:val="5FAA5E0A"/>
    <w:rsid w:val="5FB7185B"/>
    <w:rsid w:val="5FB94C48"/>
    <w:rsid w:val="5FC9714B"/>
    <w:rsid w:val="5FD74F41"/>
    <w:rsid w:val="5FDE327E"/>
    <w:rsid w:val="5FF37587"/>
    <w:rsid w:val="5FFE57B7"/>
    <w:rsid w:val="6003478C"/>
    <w:rsid w:val="60060CD5"/>
    <w:rsid w:val="60085AA3"/>
    <w:rsid w:val="600E362B"/>
    <w:rsid w:val="60143AC3"/>
    <w:rsid w:val="60183392"/>
    <w:rsid w:val="601A4CB1"/>
    <w:rsid w:val="601B56CB"/>
    <w:rsid w:val="602C236D"/>
    <w:rsid w:val="603967D7"/>
    <w:rsid w:val="603D3325"/>
    <w:rsid w:val="60400C16"/>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1E5B39"/>
    <w:rsid w:val="622A0761"/>
    <w:rsid w:val="624263A2"/>
    <w:rsid w:val="625272C3"/>
    <w:rsid w:val="626B336E"/>
    <w:rsid w:val="626E0821"/>
    <w:rsid w:val="62715337"/>
    <w:rsid w:val="6280204D"/>
    <w:rsid w:val="62866909"/>
    <w:rsid w:val="628E34EB"/>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474991"/>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1A59BD"/>
    <w:rsid w:val="642265C6"/>
    <w:rsid w:val="64264A79"/>
    <w:rsid w:val="64304E58"/>
    <w:rsid w:val="64311867"/>
    <w:rsid w:val="64391ED3"/>
    <w:rsid w:val="6445632E"/>
    <w:rsid w:val="64501C8A"/>
    <w:rsid w:val="64742B63"/>
    <w:rsid w:val="647E661E"/>
    <w:rsid w:val="648939AA"/>
    <w:rsid w:val="648C635C"/>
    <w:rsid w:val="649B1AC2"/>
    <w:rsid w:val="64A146DF"/>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C8310B"/>
    <w:rsid w:val="65D23D59"/>
    <w:rsid w:val="65D4773F"/>
    <w:rsid w:val="65DC5939"/>
    <w:rsid w:val="65DC7985"/>
    <w:rsid w:val="65F14641"/>
    <w:rsid w:val="65F5655C"/>
    <w:rsid w:val="65F64F18"/>
    <w:rsid w:val="65F7091E"/>
    <w:rsid w:val="65FF0498"/>
    <w:rsid w:val="66052F43"/>
    <w:rsid w:val="6609487E"/>
    <w:rsid w:val="661C7C9A"/>
    <w:rsid w:val="661D25CE"/>
    <w:rsid w:val="66206CF2"/>
    <w:rsid w:val="66265846"/>
    <w:rsid w:val="66287C9C"/>
    <w:rsid w:val="662E4097"/>
    <w:rsid w:val="664805B8"/>
    <w:rsid w:val="665572E9"/>
    <w:rsid w:val="665A3D63"/>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D2F4B"/>
    <w:rsid w:val="67764BAE"/>
    <w:rsid w:val="677A266A"/>
    <w:rsid w:val="677C1A81"/>
    <w:rsid w:val="677E7198"/>
    <w:rsid w:val="678A426A"/>
    <w:rsid w:val="67914BE1"/>
    <w:rsid w:val="67A01F16"/>
    <w:rsid w:val="67A96661"/>
    <w:rsid w:val="67B163D1"/>
    <w:rsid w:val="67D7447D"/>
    <w:rsid w:val="67F45538"/>
    <w:rsid w:val="680239EB"/>
    <w:rsid w:val="68034597"/>
    <w:rsid w:val="680722DA"/>
    <w:rsid w:val="682211D1"/>
    <w:rsid w:val="6823620D"/>
    <w:rsid w:val="6836510C"/>
    <w:rsid w:val="685C6395"/>
    <w:rsid w:val="686318DD"/>
    <w:rsid w:val="68635145"/>
    <w:rsid w:val="687F607E"/>
    <w:rsid w:val="689A41FB"/>
    <w:rsid w:val="689E57F0"/>
    <w:rsid w:val="68A34C5C"/>
    <w:rsid w:val="68B85B1E"/>
    <w:rsid w:val="68CB313E"/>
    <w:rsid w:val="68E24981"/>
    <w:rsid w:val="69123F86"/>
    <w:rsid w:val="691C1D81"/>
    <w:rsid w:val="691C3525"/>
    <w:rsid w:val="69216128"/>
    <w:rsid w:val="69280874"/>
    <w:rsid w:val="695D6B21"/>
    <w:rsid w:val="69611EE7"/>
    <w:rsid w:val="696C708E"/>
    <w:rsid w:val="696F4D5D"/>
    <w:rsid w:val="69806012"/>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DF27ED"/>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8D4EE5"/>
    <w:rsid w:val="6B90781F"/>
    <w:rsid w:val="6BA6437F"/>
    <w:rsid w:val="6BA6663C"/>
    <w:rsid w:val="6BA9194F"/>
    <w:rsid w:val="6BE727F5"/>
    <w:rsid w:val="6BEC7AFC"/>
    <w:rsid w:val="6C0858B3"/>
    <w:rsid w:val="6C240DF3"/>
    <w:rsid w:val="6C267BF0"/>
    <w:rsid w:val="6C3E2FAF"/>
    <w:rsid w:val="6C45610F"/>
    <w:rsid w:val="6C59472D"/>
    <w:rsid w:val="6C5A4564"/>
    <w:rsid w:val="6C603744"/>
    <w:rsid w:val="6C615AB5"/>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A90243"/>
    <w:rsid w:val="6DBE7F27"/>
    <w:rsid w:val="6DCD0146"/>
    <w:rsid w:val="6DD05277"/>
    <w:rsid w:val="6DDF6C04"/>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CC6A65"/>
    <w:rsid w:val="6FDB518F"/>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179F"/>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D426E"/>
    <w:rsid w:val="73043CFC"/>
    <w:rsid w:val="73187630"/>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71C1F"/>
    <w:rsid w:val="73CE3CFD"/>
    <w:rsid w:val="73DB0D01"/>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BA4063"/>
    <w:rsid w:val="74C03187"/>
    <w:rsid w:val="74E4756E"/>
    <w:rsid w:val="74EA0E1A"/>
    <w:rsid w:val="74ED19FF"/>
    <w:rsid w:val="74F4641C"/>
    <w:rsid w:val="75084E8F"/>
    <w:rsid w:val="7509261E"/>
    <w:rsid w:val="75202656"/>
    <w:rsid w:val="752231CE"/>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33100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391CEC"/>
    <w:rsid w:val="77451578"/>
    <w:rsid w:val="77576666"/>
    <w:rsid w:val="77692EA3"/>
    <w:rsid w:val="77825248"/>
    <w:rsid w:val="7785098B"/>
    <w:rsid w:val="77870D91"/>
    <w:rsid w:val="778A3229"/>
    <w:rsid w:val="779258CC"/>
    <w:rsid w:val="7794068F"/>
    <w:rsid w:val="779A096B"/>
    <w:rsid w:val="779B52FF"/>
    <w:rsid w:val="77A00E75"/>
    <w:rsid w:val="77A60F6E"/>
    <w:rsid w:val="77A80D17"/>
    <w:rsid w:val="77B841F3"/>
    <w:rsid w:val="77C078B1"/>
    <w:rsid w:val="77D55D8E"/>
    <w:rsid w:val="77E66E3C"/>
    <w:rsid w:val="77F32FC3"/>
    <w:rsid w:val="77F3789A"/>
    <w:rsid w:val="780326B9"/>
    <w:rsid w:val="780332E5"/>
    <w:rsid w:val="780D3FDA"/>
    <w:rsid w:val="7833711D"/>
    <w:rsid w:val="78460D63"/>
    <w:rsid w:val="78497C2E"/>
    <w:rsid w:val="78502D35"/>
    <w:rsid w:val="7854087B"/>
    <w:rsid w:val="786A4053"/>
    <w:rsid w:val="78782A0D"/>
    <w:rsid w:val="78785A2F"/>
    <w:rsid w:val="787B5060"/>
    <w:rsid w:val="788720E7"/>
    <w:rsid w:val="78A70442"/>
    <w:rsid w:val="78A90B04"/>
    <w:rsid w:val="78B006A6"/>
    <w:rsid w:val="78C25029"/>
    <w:rsid w:val="78C53485"/>
    <w:rsid w:val="78C6693F"/>
    <w:rsid w:val="78C76A01"/>
    <w:rsid w:val="78EC45D8"/>
    <w:rsid w:val="78EC6DF0"/>
    <w:rsid w:val="78F5335B"/>
    <w:rsid w:val="79114473"/>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30377"/>
    <w:rsid w:val="7A36322F"/>
    <w:rsid w:val="7A3C2BAA"/>
    <w:rsid w:val="7A3D2527"/>
    <w:rsid w:val="7A4C2D60"/>
    <w:rsid w:val="7A5C4815"/>
    <w:rsid w:val="7A5E0869"/>
    <w:rsid w:val="7A6E4BF5"/>
    <w:rsid w:val="7A7A2665"/>
    <w:rsid w:val="7A851D5D"/>
    <w:rsid w:val="7A8A2267"/>
    <w:rsid w:val="7A8C74E9"/>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B526B"/>
    <w:rsid w:val="7BAD1591"/>
    <w:rsid w:val="7BCD64C2"/>
    <w:rsid w:val="7BD005E8"/>
    <w:rsid w:val="7BD3716B"/>
    <w:rsid w:val="7BD46A45"/>
    <w:rsid w:val="7BE724BF"/>
    <w:rsid w:val="7BEC2711"/>
    <w:rsid w:val="7BF55850"/>
    <w:rsid w:val="7C1054B7"/>
    <w:rsid w:val="7C26369C"/>
    <w:rsid w:val="7C2A465C"/>
    <w:rsid w:val="7C305879"/>
    <w:rsid w:val="7C34521A"/>
    <w:rsid w:val="7C43327C"/>
    <w:rsid w:val="7C4A2BD1"/>
    <w:rsid w:val="7C576C70"/>
    <w:rsid w:val="7C607511"/>
    <w:rsid w:val="7C6E4349"/>
    <w:rsid w:val="7C77043F"/>
    <w:rsid w:val="7C8A7CDC"/>
    <w:rsid w:val="7C9E5A24"/>
    <w:rsid w:val="7CA32A16"/>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530D3"/>
    <w:rsid w:val="7D5B27C9"/>
    <w:rsid w:val="7D62117D"/>
    <w:rsid w:val="7D6B7F02"/>
    <w:rsid w:val="7D834A16"/>
    <w:rsid w:val="7D8E28D1"/>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A727B1"/>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33FA5"/>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36</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2023-08-11T06:54:32Z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